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6C4F" w14:textId="73649694" w:rsidR="00C238AE" w:rsidRPr="003517B2" w:rsidRDefault="00C238AE" w:rsidP="00221801">
      <w:pPr>
        <w:rPr>
          <w:b/>
        </w:rPr>
      </w:pPr>
    </w:p>
    <w:p w14:paraId="74F1993C" w14:textId="73907B2B" w:rsidR="00A90362" w:rsidRPr="003517B2" w:rsidRDefault="00A90362" w:rsidP="00221801">
      <w:pPr>
        <w:rPr>
          <w:b/>
        </w:rPr>
      </w:pPr>
    </w:p>
    <w:p w14:paraId="08D221E0" w14:textId="006A4E98" w:rsidR="00A90362" w:rsidRPr="003517B2" w:rsidRDefault="00A90362" w:rsidP="00221801">
      <w:pPr>
        <w:rPr>
          <w:b/>
        </w:rPr>
      </w:pPr>
    </w:p>
    <w:p w14:paraId="0955C3E3" w14:textId="3A488474" w:rsidR="00A90362" w:rsidRPr="003517B2" w:rsidRDefault="00A90362" w:rsidP="00221801">
      <w:pPr>
        <w:rPr>
          <w:b/>
        </w:rPr>
      </w:pPr>
    </w:p>
    <w:p w14:paraId="0B0E22D5" w14:textId="385B0884" w:rsidR="00A90362" w:rsidRPr="003517B2" w:rsidRDefault="00A90362" w:rsidP="00221801">
      <w:pPr>
        <w:rPr>
          <w:b/>
        </w:rPr>
      </w:pPr>
    </w:p>
    <w:p w14:paraId="17628034" w14:textId="38DD12F9" w:rsidR="00A90362" w:rsidRPr="003517B2" w:rsidRDefault="00A90362" w:rsidP="00221801">
      <w:pPr>
        <w:rPr>
          <w:b/>
        </w:rPr>
      </w:pPr>
    </w:p>
    <w:p w14:paraId="142DAA42" w14:textId="36E96A9D" w:rsidR="00A90362" w:rsidRPr="003517B2" w:rsidRDefault="00A90362" w:rsidP="00221801">
      <w:pPr>
        <w:rPr>
          <w:b/>
        </w:rPr>
      </w:pPr>
    </w:p>
    <w:p w14:paraId="33ABCB33" w14:textId="609F25EA" w:rsidR="00A90362" w:rsidRPr="003517B2" w:rsidRDefault="00A90362" w:rsidP="00221801">
      <w:pPr>
        <w:rPr>
          <w:b/>
        </w:rPr>
      </w:pPr>
    </w:p>
    <w:p w14:paraId="547E594C" w14:textId="0E34A9E8" w:rsidR="00A90362" w:rsidRPr="003517B2" w:rsidRDefault="00A90362" w:rsidP="00221801">
      <w:pPr>
        <w:rPr>
          <w:b/>
        </w:rPr>
      </w:pPr>
    </w:p>
    <w:p w14:paraId="1566CEF9" w14:textId="241EE7F2" w:rsidR="00A90362" w:rsidRPr="003517B2" w:rsidRDefault="00A90362" w:rsidP="00221801">
      <w:pPr>
        <w:rPr>
          <w:b/>
        </w:rPr>
      </w:pPr>
    </w:p>
    <w:p w14:paraId="50B4FF50" w14:textId="4AB37614" w:rsidR="00A90362" w:rsidRPr="003517B2" w:rsidRDefault="00A90362" w:rsidP="00221801">
      <w:pPr>
        <w:rPr>
          <w:b/>
        </w:rPr>
      </w:pPr>
    </w:p>
    <w:p w14:paraId="61C5CB2F" w14:textId="7C10B5D1" w:rsidR="00A90362" w:rsidRPr="003517B2" w:rsidRDefault="00A90362" w:rsidP="00221801">
      <w:pPr>
        <w:rPr>
          <w:b/>
        </w:rPr>
      </w:pPr>
    </w:p>
    <w:p w14:paraId="281C1AC6" w14:textId="593BDD8B" w:rsidR="00A90362" w:rsidRPr="003517B2" w:rsidRDefault="00A90362" w:rsidP="00221801">
      <w:pPr>
        <w:rPr>
          <w:b/>
        </w:rPr>
      </w:pPr>
    </w:p>
    <w:p w14:paraId="68AEFF80" w14:textId="1C8CC1D2" w:rsidR="00A90362" w:rsidRPr="003517B2" w:rsidRDefault="00A90362" w:rsidP="00221801">
      <w:pPr>
        <w:rPr>
          <w:b/>
        </w:rPr>
      </w:pPr>
    </w:p>
    <w:p w14:paraId="5EF4537A" w14:textId="5E336661" w:rsidR="00A90362" w:rsidRPr="003517B2" w:rsidRDefault="00A90362" w:rsidP="00221801">
      <w:pPr>
        <w:rPr>
          <w:b/>
        </w:rPr>
      </w:pPr>
    </w:p>
    <w:p w14:paraId="74EB8920" w14:textId="0AF8946D" w:rsidR="00A90362" w:rsidRPr="003517B2" w:rsidRDefault="00A90362" w:rsidP="00221801">
      <w:pPr>
        <w:rPr>
          <w:b/>
        </w:rPr>
      </w:pPr>
    </w:p>
    <w:p w14:paraId="7D62E08D" w14:textId="554D81F3" w:rsidR="00A90362" w:rsidRPr="003517B2" w:rsidRDefault="00A90362" w:rsidP="00221801">
      <w:pPr>
        <w:rPr>
          <w:b/>
        </w:rPr>
      </w:pPr>
    </w:p>
    <w:p w14:paraId="197F2384" w14:textId="3D82496F" w:rsidR="00A90362" w:rsidRPr="003517B2" w:rsidRDefault="00A90362" w:rsidP="00221801">
      <w:pPr>
        <w:rPr>
          <w:b/>
        </w:rPr>
      </w:pPr>
    </w:p>
    <w:p w14:paraId="4A47EFEE" w14:textId="44CC57AD" w:rsidR="00A90362" w:rsidRPr="003517B2" w:rsidRDefault="00A90362" w:rsidP="00221801">
      <w:pPr>
        <w:rPr>
          <w:b/>
        </w:rPr>
      </w:pPr>
    </w:p>
    <w:p w14:paraId="6E4C55FF" w14:textId="018C02CA" w:rsidR="00A90362" w:rsidRPr="003517B2" w:rsidRDefault="00A90362" w:rsidP="00221801">
      <w:pPr>
        <w:rPr>
          <w:b/>
        </w:rPr>
      </w:pPr>
    </w:p>
    <w:p w14:paraId="224C0AFD" w14:textId="5A4E5E41" w:rsidR="00A90362" w:rsidRPr="003517B2" w:rsidRDefault="00A90362" w:rsidP="00221801">
      <w:pPr>
        <w:rPr>
          <w:b/>
        </w:rPr>
      </w:pPr>
    </w:p>
    <w:p w14:paraId="0B82D55C" w14:textId="353FD38F" w:rsidR="00A90362" w:rsidRPr="003517B2" w:rsidRDefault="00A90362" w:rsidP="00221801">
      <w:pPr>
        <w:rPr>
          <w:b/>
        </w:rPr>
      </w:pPr>
    </w:p>
    <w:p w14:paraId="6CA3E412" w14:textId="77777777" w:rsidR="00A90362" w:rsidRPr="003517B2" w:rsidRDefault="00A90362" w:rsidP="00221801">
      <w:pPr>
        <w:rPr>
          <w:b/>
        </w:rPr>
      </w:pPr>
    </w:p>
    <w:p w14:paraId="5B17E92A" w14:textId="77777777" w:rsidR="00C238AE" w:rsidRPr="00E31E90" w:rsidRDefault="00C238AE" w:rsidP="00A90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90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</w:p>
    <w:p w14:paraId="3F58E1A0" w14:textId="7C25003C" w:rsidR="00C238AE" w:rsidRPr="00E31E90" w:rsidRDefault="00C238AE" w:rsidP="00A903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E90">
        <w:rPr>
          <w:rFonts w:ascii="Times New Roman" w:hAnsi="Times New Roman" w:cs="Times New Roman"/>
          <w:b/>
          <w:sz w:val="28"/>
          <w:szCs w:val="28"/>
        </w:rPr>
        <w:t>FINANCIJSKOG PLANA CENTRA ZA RE</w:t>
      </w:r>
      <w:r w:rsidR="007A63FE" w:rsidRPr="00E31E90">
        <w:rPr>
          <w:rFonts w:ascii="Times New Roman" w:hAnsi="Times New Roman" w:cs="Times New Roman"/>
          <w:b/>
          <w:sz w:val="28"/>
          <w:szCs w:val="28"/>
        </w:rPr>
        <w:t>STRUKTURIRANJE</w:t>
      </w:r>
      <w:r w:rsidR="00806DF3" w:rsidRPr="00E31E90">
        <w:rPr>
          <w:rFonts w:ascii="Times New Roman" w:hAnsi="Times New Roman" w:cs="Times New Roman"/>
          <w:b/>
          <w:sz w:val="28"/>
          <w:szCs w:val="28"/>
        </w:rPr>
        <w:t xml:space="preserve"> I PRODAJU ZA 202</w:t>
      </w:r>
      <w:r w:rsidR="00676AFD" w:rsidRPr="00E31E90">
        <w:rPr>
          <w:rFonts w:ascii="Times New Roman" w:hAnsi="Times New Roman" w:cs="Times New Roman"/>
          <w:b/>
          <w:sz w:val="28"/>
          <w:szCs w:val="28"/>
        </w:rPr>
        <w:t>3</w:t>
      </w:r>
      <w:r w:rsidR="00905307" w:rsidRPr="00E31E90">
        <w:rPr>
          <w:rFonts w:ascii="Times New Roman" w:hAnsi="Times New Roman" w:cs="Times New Roman"/>
          <w:b/>
          <w:sz w:val="28"/>
          <w:szCs w:val="28"/>
        </w:rPr>
        <w:t>.</w:t>
      </w:r>
      <w:r w:rsidR="00A90362" w:rsidRPr="00E31E90">
        <w:rPr>
          <w:rFonts w:ascii="Times New Roman" w:hAnsi="Times New Roman" w:cs="Times New Roman"/>
          <w:b/>
          <w:sz w:val="28"/>
          <w:szCs w:val="28"/>
        </w:rPr>
        <w:t xml:space="preserve"> GODINU</w:t>
      </w:r>
      <w:r w:rsidR="00905307" w:rsidRPr="00E31E90">
        <w:rPr>
          <w:rFonts w:ascii="Times New Roman" w:hAnsi="Times New Roman" w:cs="Times New Roman"/>
          <w:b/>
          <w:sz w:val="28"/>
          <w:szCs w:val="28"/>
        </w:rPr>
        <w:t xml:space="preserve"> I PROJEKCIJA</w:t>
      </w:r>
      <w:r w:rsidR="00806DF3" w:rsidRPr="00E31E90">
        <w:rPr>
          <w:rFonts w:ascii="Times New Roman" w:hAnsi="Times New Roman" w:cs="Times New Roman"/>
          <w:b/>
          <w:sz w:val="28"/>
          <w:szCs w:val="28"/>
        </w:rPr>
        <w:t xml:space="preserve"> PLANA ZA 202</w:t>
      </w:r>
      <w:r w:rsidR="00676AFD" w:rsidRPr="00E31E90">
        <w:rPr>
          <w:rFonts w:ascii="Times New Roman" w:hAnsi="Times New Roman" w:cs="Times New Roman"/>
          <w:b/>
          <w:sz w:val="28"/>
          <w:szCs w:val="28"/>
        </w:rPr>
        <w:t>4</w:t>
      </w:r>
      <w:r w:rsidR="00806DF3" w:rsidRPr="00E31E90">
        <w:rPr>
          <w:rFonts w:ascii="Times New Roman" w:hAnsi="Times New Roman" w:cs="Times New Roman"/>
          <w:b/>
          <w:sz w:val="28"/>
          <w:szCs w:val="28"/>
        </w:rPr>
        <w:t>. I 202</w:t>
      </w:r>
      <w:r w:rsidR="00676AFD" w:rsidRPr="00E31E90">
        <w:rPr>
          <w:rFonts w:ascii="Times New Roman" w:hAnsi="Times New Roman" w:cs="Times New Roman"/>
          <w:b/>
          <w:sz w:val="28"/>
          <w:szCs w:val="28"/>
        </w:rPr>
        <w:t>5</w:t>
      </w:r>
      <w:r w:rsidRPr="00E31E90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4FD48A25" w14:textId="0B612CAB" w:rsidR="00C238AE" w:rsidRPr="003517B2" w:rsidRDefault="00C238AE" w:rsidP="00C238AE">
      <w:pPr>
        <w:jc w:val="both"/>
        <w:rPr>
          <w:b/>
        </w:rPr>
      </w:pPr>
    </w:p>
    <w:p w14:paraId="29FB6122" w14:textId="7A918F9C" w:rsidR="00221801" w:rsidRPr="003517B2" w:rsidRDefault="00221801" w:rsidP="00C238AE">
      <w:pPr>
        <w:jc w:val="both"/>
        <w:rPr>
          <w:b/>
        </w:rPr>
      </w:pPr>
    </w:p>
    <w:p w14:paraId="3D3F5F1D" w14:textId="4330B6B9" w:rsidR="00A90362" w:rsidRPr="003517B2" w:rsidRDefault="00A90362" w:rsidP="00C238AE">
      <w:pPr>
        <w:jc w:val="both"/>
        <w:rPr>
          <w:b/>
        </w:rPr>
      </w:pPr>
    </w:p>
    <w:p w14:paraId="3EDEB338" w14:textId="008E4749" w:rsidR="00A90362" w:rsidRPr="003517B2" w:rsidRDefault="00A90362" w:rsidP="00C238AE">
      <w:pPr>
        <w:jc w:val="both"/>
        <w:rPr>
          <w:b/>
        </w:rPr>
      </w:pPr>
    </w:p>
    <w:p w14:paraId="6D516A1F" w14:textId="676126B7" w:rsidR="00A90362" w:rsidRPr="003517B2" w:rsidRDefault="00A90362" w:rsidP="00C238AE">
      <w:pPr>
        <w:jc w:val="both"/>
        <w:rPr>
          <w:b/>
        </w:rPr>
      </w:pPr>
    </w:p>
    <w:p w14:paraId="15171ED0" w14:textId="3305CD5B" w:rsidR="00A90362" w:rsidRPr="003517B2" w:rsidRDefault="00A90362" w:rsidP="00C238AE">
      <w:pPr>
        <w:jc w:val="both"/>
        <w:rPr>
          <w:b/>
        </w:rPr>
      </w:pPr>
    </w:p>
    <w:p w14:paraId="00A3F3F4" w14:textId="2CD28D97" w:rsidR="00A90362" w:rsidRPr="003517B2" w:rsidRDefault="00A90362" w:rsidP="00C238AE">
      <w:pPr>
        <w:jc w:val="both"/>
        <w:rPr>
          <w:b/>
        </w:rPr>
      </w:pPr>
    </w:p>
    <w:p w14:paraId="248EAB4E" w14:textId="104E9F53" w:rsidR="00A90362" w:rsidRPr="003517B2" w:rsidRDefault="00A90362" w:rsidP="00C238AE">
      <w:pPr>
        <w:jc w:val="both"/>
        <w:rPr>
          <w:b/>
        </w:rPr>
      </w:pPr>
    </w:p>
    <w:p w14:paraId="3342F607" w14:textId="2AE53596" w:rsidR="00A90362" w:rsidRPr="003517B2" w:rsidRDefault="00A90362" w:rsidP="00C238AE">
      <w:pPr>
        <w:jc w:val="both"/>
        <w:rPr>
          <w:b/>
        </w:rPr>
      </w:pPr>
    </w:p>
    <w:p w14:paraId="36457ED1" w14:textId="231EE66A" w:rsidR="00A90362" w:rsidRPr="003517B2" w:rsidRDefault="00A90362" w:rsidP="00C238AE">
      <w:pPr>
        <w:jc w:val="both"/>
        <w:rPr>
          <w:b/>
        </w:rPr>
      </w:pPr>
    </w:p>
    <w:p w14:paraId="737A416D" w14:textId="342CF965" w:rsidR="00A90362" w:rsidRPr="003517B2" w:rsidRDefault="00A90362" w:rsidP="00C238AE">
      <w:pPr>
        <w:jc w:val="both"/>
        <w:rPr>
          <w:b/>
        </w:rPr>
      </w:pPr>
    </w:p>
    <w:p w14:paraId="3C6868D7" w14:textId="0C8ACF15" w:rsidR="00A90362" w:rsidRPr="003517B2" w:rsidRDefault="00A90362" w:rsidP="00C238AE">
      <w:pPr>
        <w:jc w:val="both"/>
        <w:rPr>
          <w:b/>
        </w:rPr>
      </w:pPr>
    </w:p>
    <w:p w14:paraId="44371D57" w14:textId="116D5BBD" w:rsidR="00A90362" w:rsidRPr="003517B2" w:rsidRDefault="00A90362" w:rsidP="00C238AE">
      <w:pPr>
        <w:jc w:val="both"/>
        <w:rPr>
          <w:b/>
        </w:rPr>
      </w:pPr>
    </w:p>
    <w:p w14:paraId="2B651FED" w14:textId="61869EC3" w:rsidR="00A90362" w:rsidRPr="003517B2" w:rsidRDefault="00A90362" w:rsidP="00C238AE">
      <w:pPr>
        <w:jc w:val="both"/>
        <w:rPr>
          <w:b/>
        </w:rPr>
      </w:pPr>
    </w:p>
    <w:p w14:paraId="04858C9D" w14:textId="12701A7C" w:rsidR="00A90362" w:rsidRPr="003517B2" w:rsidRDefault="00A90362" w:rsidP="00C238AE">
      <w:pPr>
        <w:jc w:val="both"/>
        <w:rPr>
          <w:b/>
        </w:rPr>
      </w:pPr>
    </w:p>
    <w:p w14:paraId="71B4CA68" w14:textId="3FC5DCEF" w:rsidR="00A90362" w:rsidRPr="003517B2" w:rsidRDefault="00A90362" w:rsidP="00C238AE">
      <w:pPr>
        <w:jc w:val="both"/>
        <w:rPr>
          <w:b/>
        </w:rPr>
      </w:pPr>
    </w:p>
    <w:p w14:paraId="24B99F0F" w14:textId="0017BAF3" w:rsidR="00A90362" w:rsidRPr="003517B2" w:rsidRDefault="00A90362" w:rsidP="00C238AE">
      <w:pPr>
        <w:jc w:val="both"/>
        <w:rPr>
          <w:b/>
        </w:rPr>
      </w:pPr>
    </w:p>
    <w:p w14:paraId="296BAE1B" w14:textId="230313A2" w:rsidR="00A90362" w:rsidRPr="003517B2" w:rsidRDefault="00A90362" w:rsidP="00C238AE">
      <w:pPr>
        <w:jc w:val="both"/>
        <w:rPr>
          <w:b/>
        </w:rPr>
      </w:pPr>
    </w:p>
    <w:p w14:paraId="4814FC74" w14:textId="6825B65F" w:rsidR="00A90362" w:rsidRPr="003517B2" w:rsidRDefault="00A90362" w:rsidP="00C238AE">
      <w:pPr>
        <w:jc w:val="both"/>
        <w:rPr>
          <w:b/>
        </w:rPr>
      </w:pPr>
    </w:p>
    <w:p w14:paraId="09D23840" w14:textId="60C4ABA4" w:rsidR="00A90362" w:rsidRPr="003517B2" w:rsidRDefault="00A90362" w:rsidP="00C238AE">
      <w:pPr>
        <w:jc w:val="both"/>
        <w:rPr>
          <w:b/>
        </w:rPr>
      </w:pPr>
    </w:p>
    <w:p w14:paraId="73F99BD9" w14:textId="35CD8A23" w:rsidR="00A90362" w:rsidRDefault="00A90362" w:rsidP="00C238AE">
      <w:pPr>
        <w:jc w:val="both"/>
        <w:rPr>
          <w:b/>
        </w:rPr>
      </w:pPr>
    </w:p>
    <w:p w14:paraId="29393263" w14:textId="124ED95B" w:rsidR="003517B2" w:rsidRDefault="003517B2" w:rsidP="00C238AE">
      <w:pPr>
        <w:jc w:val="both"/>
        <w:rPr>
          <w:b/>
        </w:rPr>
      </w:pPr>
    </w:p>
    <w:p w14:paraId="75F54648" w14:textId="5D962A45" w:rsidR="003517B2" w:rsidRDefault="003517B2" w:rsidP="00C238AE">
      <w:pPr>
        <w:jc w:val="both"/>
        <w:rPr>
          <w:b/>
        </w:rPr>
      </w:pPr>
    </w:p>
    <w:p w14:paraId="64E08B7B" w14:textId="1553D58A" w:rsidR="003517B2" w:rsidRDefault="003517B2" w:rsidP="00C238AE">
      <w:pPr>
        <w:jc w:val="both"/>
        <w:rPr>
          <w:b/>
        </w:rPr>
      </w:pPr>
    </w:p>
    <w:p w14:paraId="4C33B92B" w14:textId="77777777" w:rsidR="003517B2" w:rsidRPr="003517B2" w:rsidRDefault="003517B2" w:rsidP="00C238AE">
      <w:pPr>
        <w:jc w:val="both"/>
        <w:rPr>
          <w:b/>
        </w:rPr>
      </w:pPr>
    </w:p>
    <w:p w14:paraId="397099FE" w14:textId="77777777" w:rsidR="00A90362" w:rsidRPr="003517B2" w:rsidRDefault="00A90362" w:rsidP="00C238AE">
      <w:pPr>
        <w:jc w:val="both"/>
        <w:rPr>
          <w:b/>
        </w:rPr>
      </w:pPr>
    </w:p>
    <w:p w14:paraId="3EBBB6B4" w14:textId="425CF61A" w:rsidR="002F7EB1" w:rsidRPr="00E31E90" w:rsidRDefault="00CA60A5" w:rsidP="00CA60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E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UVOD</w:t>
      </w:r>
    </w:p>
    <w:p w14:paraId="3B0215C2" w14:textId="77777777" w:rsidR="00C238AE" w:rsidRPr="00E31E90" w:rsidRDefault="00C238AE" w:rsidP="00C238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985F9" w14:textId="77777777" w:rsidR="00C238AE" w:rsidRPr="00E31E90" w:rsidRDefault="00C238AE" w:rsidP="00C238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za restrukturiranje i prodaju (u daljnjem tekstu: Centar)</w:t>
      </w:r>
      <w:r w:rsidR="00896FC4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>je pravna osoba s javnim ovlastima, osnovana Zakonom o upravljanju i raspolaganju imovinom u vlasništvu Republike Hrvatske ("Narodne novine" broj 94/13, 18/16 i 89/17 - Odluka Ustavnog suda Republike Hrvatske), a koji je nastavio s radom sukladno odredbama Zakona o upravljanju državnom imovinom ("Narodne novine" broj 52/18, u daljnjem tekstu: Zakon).</w:t>
      </w:r>
    </w:p>
    <w:p w14:paraId="3A657AC6" w14:textId="77777777" w:rsidR="00C238AE" w:rsidRPr="00E31E90" w:rsidRDefault="00C238AE" w:rsidP="00E31E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Sukladno</w:t>
      </w:r>
      <w:r w:rsidR="00896FC4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>članku 23. Zakona Centar se financira iz vlastitih sredstava te iz drugih izvora, a sredstvima iz drugih izvora smatraju se:</w:t>
      </w:r>
    </w:p>
    <w:p w14:paraId="6223C52F" w14:textId="77777777" w:rsidR="00C238AE" w:rsidRPr="00E31E90" w:rsidRDefault="00C238AE" w:rsidP="00E31E90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naknade za upravljanje i raspolaganje dionicama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>udjelima trgovačkih društava u vlasništvu Republike Hrvatske, kojima upravlja Centar,</w:t>
      </w:r>
    </w:p>
    <w:p w14:paraId="11509250" w14:textId="7A171126" w:rsidR="00C238AE" w:rsidRPr="00E31E90" w:rsidRDefault="00C238AE" w:rsidP="00E31E90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naknade za upravljanje i raspolaganje dionicama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 xml:space="preserve">udjelima čiji je imatelj Hrvatski zavod za mirovinsko </w:t>
      </w:r>
      <w:r w:rsidRPr="00AC7F5A">
        <w:rPr>
          <w:rFonts w:ascii="Times New Roman" w:hAnsi="Times New Roman" w:cs="Times New Roman"/>
          <w:sz w:val="24"/>
          <w:szCs w:val="24"/>
        </w:rPr>
        <w:t>osiguranje, kojima upravlja Centar,</w:t>
      </w:r>
    </w:p>
    <w:p w14:paraId="5B09D2AA" w14:textId="77777777" w:rsidR="00C238AE" w:rsidRPr="00E31E90" w:rsidRDefault="00C238AE" w:rsidP="00E31E90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donacije, krediti, sredstva međunarodne pomoći, sredstva iz instrumenata programa i fondova Europske unije i druga sredstva u skladu sa Zakonom.</w:t>
      </w:r>
    </w:p>
    <w:p w14:paraId="22E3A82A" w14:textId="77777777" w:rsidR="00C238AE" w:rsidRPr="00E31E90" w:rsidRDefault="00C238AE" w:rsidP="00C238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Primici od prodaje dionica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>udjela u vlasništvu Republike Hrvatske, prihodi iz sredstava ostvarenih podjelom dobiti, odnosno ostatka stečajne ili likvidacijske mase društava čijih dionica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>udjela je imatelj Republika Hrvatska, a kojima upravlja Centar, su primitak odnosno prihod državnog proračuna, osim ako Vlada Republike Hrvatske ne donese posebnu odluku da ti prihodi pripadaju Centru za podmirenje financijskih obveza.</w:t>
      </w:r>
    </w:p>
    <w:p w14:paraId="12B71606" w14:textId="77777777" w:rsidR="00C238AE" w:rsidRPr="00E31E90" w:rsidRDefault="00C238AE" w:rsidP="00E31E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Uzimajući u obzir djelokrug rada Centra određen Zakonom, Centar ne može pouzdano planirati buduće prihode i primitke odnosno rashode i izdatke iz slijedećih razloga: </w:t>
      </w:r>
    </w:p>
    <w:p w14:paraId="14D49197" w14:textId="77777777" w:rsidR="00C238AE" w:rsidRPr="00E31E90" w:rsidRDefault="00C238AE" w:rsidP="00E31E90">
      <w:pPr>
        <w:numPr>
          <w:ilvl w:val="0"/>
          <w:numId w:val="1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na strani prihoda i primitaka ne može se utjecati na pozitivan ishod postupaka prodaje dionica/udjela trgovačkih društava iz državnog portfelja kojima upravlja Centar sukladno odredbama Zakona, kao niti na postojanje interesa potencijalnih </w:t>
      </w:r>
      <w:r w:rsidR="00D94754" w:rsidRPr="00E31E90">
        <w:rPr>
          <w:rFonts w:ascii="Times New Roman" w:hAnsi="Times New Roman" w:cs="Times New Roman"/>
          <w:sz w:val="24"/>
          <w:szCs w:val="24"/>
        </w:rPr>
        <w:t>investitora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za kupnju dionica/udjela trgovačkih društava koja se nalaze u nadležnosti Centra, jer sama realizacija prodaje ne ovisi o Centru već o financijsko-ekonomskom položaju i atraktivnosti samog društva koje se prodaje, o trenutnoj ponudi i potražnji na tržištu, veličini portfelja koji se prodaje, stvarnom interesu potencijalnih investitora te drugim objektivnim razlozima na koje Centar nema utjecaja, a što je u direktnoj vezi s potencijalnim budućim prihodima i primicima;</w:t>
      </w:r>
    </w:p>
    <w:p w14:paraId="2637BF6B" w14:textId="035A0DB4" w:rsidR="00C238AE" w:rsidRPr="00E31E90" w:rsidRDefault="00C238AE" w:rsidP="00E31E90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na strani rashoda i izdataka nije moguće predvidjeti dužinu trajanja pokrenutih sudskih sporova do njihove pravomoćnosti kao i drugih postupaka do njihovog okončanja, niti se može utjecati na ishod istih, a što je u direktnoj vezi s potencijalnim budućim rashodima i izdacima.</w:t>
      </w:r>
    </w:p>
    <w:p w14:paraId="30CC6618" w14:textId="2C7566EF" w:rsidR="002F7EB1" w:rsidRPr="00E31E90" w:rsidRDefault="002F7EB1" w:rsidP="002F7EB1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9F998B" w14:textId="61022A0A" w:rsidR="002F7EB1" w:rsidRPr="00E31E90" w:rsidRDefault="002F7EB1" w:rsidP="002F7EB1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E90">
        <w:rPr>
          <w:rFonts w:ascii="Times New Roman" w:hAnsi="Times New Roman" w:cs="Times New Roman"/>
          <w:b/>
          <w:sz w:val="24"/>
          <w:szCs w:val="24"/>
          <w:u w:val="single"/>
        </w:rPr>
        <w:t>OPĆI DIO</w:t>
      </w:r>
    </w:p>
    <w:p w14:paraId="026DCB6C" w14:textId="61F9DD35" w:rsidR="00221801" w:rsidRDefault="00221801" w:rsidP="002F7E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8301E" w14:textId="77777777" w:rsidR="003C3840" w:rsidRPr="00E31E90" w:rsidRDefault="003C3840" w:rsidP="002F7E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72F75" w14:textId="241BC8C0" w:rsidR="008512A6" w:rsidRPr="00E31E90" w:rsidRDefault="00C238AE" w:rsidP="008512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E90">
        <w:rPr>
          <w:rFonts w:ascii="Times New Roman" w:hAnsi="Times New Roman" w:cs="Times New Roman"/>
          <w:b/>
          <w:sz w:val="24"/>
          <w:szCs w:val="24"/>
          <w:u w:val="single"/>
        </w:rPr>
        <w:t>RAČUN PRIHODA I RASHODA</w:t>
      </w:r>
    </w:p>
    <w:p w14:paraId="65A46F32" w14:textId="77777777" w:rsidR="008512A6" w:rsidRPr="00E31E90" w:rsidRDefault="008512A6" w:rsidP="00851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ACD3E" w14:textId="5DB335CB" w:rsidR="008512A6" w:rsidRDefault="008512A6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B86736" w:rsidRPr="00E31E90">
        <w:rPr>
          <w:rFonts w:ascii="Times New Roman" w:hAnsi="Times New Roman" w:cs="Times New Roman"/>
          <w:b/>
          <w:sz w:val="24"/>
          <w:szCs w:val="24"/>
        </w:rPr>
        <w:t xml:space="preserve"> I PRIHODI OD PRODAJE NEFINANCIJSKE IMOVINE</w:t>
      </w:r>
    </w:p>
    <w:p w14:paraId="3F23A801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A4B92" w14:textId="571B8B9B" w:rsidR="003517B2" w:rsidRDefault="00806DF3" w:rsidP="00BA60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je za razdoblje 202</w:t>
      </w:r>
      <w:r w:rsidR="00676AFD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- 202</w:t>
      </w:r>
      <w:r w:rsidR="00676AFD" w:rsidRPr="00E31E90">
        <w:rPr>
          <w:rFonts w:ascii="Times New Roman" w:hAnsi="Times New Roman" w:cs="Times New Roman"/>
          <w:sz w:val="24"/>
          <w:szCs w:val="24"/>
        </w:rPr>
        <w:t>5</w:t>
      </w:r>
      <w:r w:rsidR="00C238AE" w:rsidRPr="00E31E90">
        <w:rPr>
          <w:rFonts w:ascii="Times New Roman" w:hAnsi="Times New Roman" w:cs="Times New Roman"/>
          <w:sz w:val="24"/>
          <w:szCs w:val="24"/>
        </w:rPr>
        <w:t>. godine planirao prihode</w:t>
      </w:r>
      <w:r w:rsidR="00437889" w:rsidRPr="00E31E90">
        <w:rPr>
          <w:rFonts w:ascii="Times New Roman" w:hAnsi="Times New Roman" w:cs="Times New Roman"/>
          <w:sz w:val="24"/>
          <w:szCs w:val="24"/>
        </w:rPr>
        <w:t xml:space="preserve"> poslovanja i prihode od prodaje nefinancijske imovine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 u slijedećim iznosima:</w:t>
      </w:r>
    </w:p>
    <w:p w14:paraId="56C79385" w14:textId="77777777" w:rsidR="00E31E90" w:rsidRPr="00E31E90" w:rsidRDefault="00E31E90" w:rsidP="00BA60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446"/>
        <w:gridCol w:w="1418"/>
        <w:gridCol w:w="1276"/>
        <w:gridCol w:w="1559"/>
        <w:gridCol w:w="1559"/>
      </w:tblGrid>
      <w:tr w:rsidR="003517B2" w:rsidRPr="00E31E90" w14:paraId="53A46D0F" w14:textId="77777777" w:rsidTr="00DD3813">
        <w:trPr>
          <w:trHeight w:val="54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95C5" w14:textId="77777777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NAZIV PRIHODA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6728" w14:textId="2F7178E0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PLAN ZA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3E8A" w14:textId="6AEAF904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PRIJEDLOG PLANA ZA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5D6" w14:textId="56DD35CD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INDEKS 2023/2022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FD8F" w14:textId="1CCC34BB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5773" w14:textId="6595A019" w:rsidR="003517B2" w:rsidRPr="00E31E90" w:rsidRDefault="003517B2" w:rsidP="0035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2025.</w:t>
            </w:r>
          </w:p>
        </w:tc>
      </w:tr>
      <w:tr w:rsidR="003517B2" w:rsidRPr="00E31E90" w14:paraId="5D8DFCC6" w14:textId="77777777" w:rsidTr="00DD3813">
        <w:trPr>
          <w:trHeight w:val="52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A83F" w14:textId="77777777" w:rsidR="003517B2" w:rsidRPr="00E31E90" w:rsidRDefault="003517B2" w:rsidP="00351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PRIHODI POSLOVANJA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63E3" w14:textId="5FE3CC06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6.243.280,91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BDA0" w14:textId="26E64F46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5.101.300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81AB" w14:textId="7F65E0CC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81,71%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BE0" w14:textId="32BFACA8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3.973.200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E7AA" w14:textId="7572FB44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3.774.100</w:t>
            </w:r>
          </w:p>
        </w:tc>
      </w:tr>
      <w:tr w:rsidR="003517B2" w:rsidRPr="00E31E90" w14:paraId="3BA9FD05" w14:textId="77777777" w:rsidTr="00DD3813">
        <w:trPr>
          <w:trHeight w:val="54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1FDB" w14:textId="77777777" w:rsidR="003517B2" w:rsidRPr="00E31E90" w:rsidRDefault="003517B2" w:rsidP="00351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PRIHODI OD PRODAJE NEFINANCIJSKE IMOVINE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BEE" w14:textId="2C2BA939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1.897.936,16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4FF" w14:textId="64767CB4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79.600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2DD" w14:textId="026DDE76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4,19%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6292" w14:textId="4B2E78C1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59.700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CE8" w14:textId="2EDA7F0A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59.600</w:t>
            </w:r>
          </w:p>
        </w:tc>
      </w:tr>
      <w:tr w:rsidR="003517B2" w:rsidRPr="00E31E90" w14:paraId="522A7758" w14:textId="77777777" w:rsidTr="00DD3813">
        <w:trPr>
          <w:trHeight w:val="53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794B" w14:textId="77777777" w:rsidR="003517B2" w:rsidRPr="00E31E90" w:rsidRDefault="003517B2" w:rsidP="003517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E8DF" w14:textId="4F9F243B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8.141.217,07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7673" w14:textId="6C8CF42B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5.180.900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DA2" w14:textId="4BFBFB28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63,64%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DF8A" w14:textId="0906BE75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4.032.900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8BB" w14:textId="3F047121" w:rsidR="003517B2" w:rsidRPr="00E31E90" w:rsidRDefault="003517B2" w:rsidP="003517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3.833.700</w:t>
            </w:r>
          </w:p>
        </w:tc>
      </w:tr>
    </w:tbl>
    <w:p w14:paraId="7EE43529" w14:textId="77777777" w:rsidR="00E31E90" w:rsidRDefault="00E31E90" w:rsidP="00E31E90">
      <w:pPr>
        <w:jc w:val="both"/>
        <w:rPr>
          <w:b/>
        </w:rPr>
      </w:pPr>
    </w:p>
    <w:p w14:paraId="78827B59" w14:textId="417349D5" w:rsidR="00B86736" w:rsidRPr="00E31E90" w:rsidRDefault="00B86736" w:rsidP="00ED750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 xml:space="preserve">PRIHODI POSLOVANJA </w:t>
      </w:r>
    </w:p>
    <w:p w14:paraId="40C30948" w14:textId="34F8F1E8" w:rsidR="00C238AE" w:rsidRPr="00E31E90" w:rsidRDefault="00C238AE" w:rsidP="00B8673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</w:t>
      </w:r>
      <w:r w:rsidR="00806DF3" w:rsidRPr="00E31E90">
        <w:rPr>
          <w:rFonts w:ascii="Times New Roman" w:hAnsi="Times New Roman" w:cs="Times New Roman"/>
          <w:sz w:val="24"/>
          <w:szCs w:val="24"/>
        </w:rPr>
        <w:t>irani prihodi poslovanja za 202</w:t>
      </w:r>
      <w:r w:rsidR="006C2203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C2203" w:rsidRPr="00E31E90">
        <w:rPr>
          <w:rFonts w:ascii="Times New Roman" w:hAnsi="Times New Roman" w:cs="Times New Roman"/>
          <w:sz w:val="24"/>
          <w:szCs w:val="24"/>
        </w:rPr>
        <w:t>5.101.300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i odnose se na slijedeće planirane prihode:</w:t>
      </w:r>
    </w:p>
    <w:p w14:paraId="0568734F" w14:textId="5F52C2F3" w:rsidR="00C238AE" w:rsidRPr="00E31E90" w:rsidRDefault="00C238AE" w:rsidP="00E033BC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Prihodi od</w:t>
      </w:r>
      <w:r w:rsidR="00DD3813" w:rsidRPr="00E31E90">
        <w:rPr>
          <w:rFonts w:ascii="Times New Roman" w:hAnsi="Times New Roman" w:cs="Times New Roman"/>
          <w:b/>
          <w:sz w:val="24"/>
          <w:szCs w:val="24"/>
        </w:rPr>
        <w:t xml:space="preserve"> imovine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A50CF4" w:rsidRPr="00E31E90">
        <w:rPr>
          <w:rFonts w:ascii="Times New Roman" w:hAnsi="Times New Roman" w:cs="Times New Roman"/>
          <w:sz w:val="24"/>
          <w:szCs w:val="24"/>
        </w:rPr>
        <w:t xml:space="preserve"> 3.105.800,00 eura, odnose se na prihode od financijske imovine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6115BF" w:rsidRPr="00E31E9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B4E83" w:rsidRPr="00E31E90">
        <w:rPr>
          <w:rFonts w:ascii="Times New Roman" w:hAnsi="Times New Roman" w:cs="Times New Roman"/>
          <w:sz w:val="24"/>
          <w:szCs w:val="24"/>
        </w:rPr>
        <w:t>2</w:t>
      </w:r>
      <w:r w:rsidR="006C2203" w:rsidRPr="00E31E90">
        <w:rPr>
          <w:rFonts w:ascii="Times New Roman" w:hAnsi="Times New Roman" w:cs="Times New Roman"/>
          <w:sz w:val="24"/>
          <w:szCs w:val="24"/>
        </w:rPr>
        <w:t>.946.500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6115BF" w:rsidRPr="00E31E90">
        <w:rPr>
          <w:rFonts w:ascii="Times New Roman" w:hAnsi="Times New Roman" w:cs="Times New Roman"/>
          <w:sz w:val="24"/>
          <w:szCs w:val="24"/>
        </w:rPr>
        <w:t xml:space="preserve"> (</w:t>
      </w:r>
      <w:r w:rsidRPr="00E31E90">
        <w:rPr>
          <w:rFonts w:ascii="Times New Roman" w:hAnsi="Times New Roman" w:cs="Times New Roman"/>
          <w:sz w:val="24"/>
          <w:szCs w:val="24"/>
        </w:rPr>
        <w:t>prihod</w:t>
      </w:r>
      <w:r w:rsidR="006115BF" w:rsidRPr="00E31E90">
        <w:rPr>
          <w:rFonts w:ascii="Times New Roman" w:hAnsi="Times New Roman" w:cs="Times New Roman"/>
          <w:sz w:val="24"/>
          <w:szCs w:val="24"/>
        </w:rPr>
        <w:t>i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od </w:t>
      </w:r>
      <w:r w:rsidRPr="00E31E90">
        <w:rPr>
          <w:rFonts w:ascii="Times New Roman" w:hAnsi="Times New Roman" w:cs="Times New Roman"/>
          <w:sz w:val="24"/>
          <w:szCs w:val="24"/>
        </w:rPr>
        <w:t xml:space="preserve">kamata na oročena sredstva i depozite po viđenju, </w:t>
      </w:r>
      <w:r w:rsidR="006C6D05" w:rsidRPr="00E31E90">
        <w:rPr>
          <w:rFonts w:ascii="Times New Roman" w:hAnsi="Times New Roman" w:cs="Times New Roman"/>
          <w:sz w:val="24"/>
          <w:szCs w:val="24"/>
        </w:rPr>
        <w:t>prihod</w:t>
      </w:r>
      <w:r w:rsidR="006115BF" w:rsidRPr="00E31E90">
        <w:rPr>
          <w:rFonts w:ascii="Times New Roman" w:hAnsi="Times New Roman" w:cs="Times New Roman"/>
          <w:sz w:val="24"/>
          <w:szCs w:val="24"/>
        </w:rPr>
        <w:t>i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 od zateznih </w:t>
      </w:r>
      <w:r w:rsidR="00C96250" w:rsidRPr="00E31E90">
        <w:rPr>
          <w:rFonts w:ascii="Times New Roman" w:hAnsi="Times New Roman" w:cs="Times New Roman"/>
          <w:sz w:val="24"/>
          <w:szCs w:val="24"/>
        </w:rPr>
        <w:t>kamata</w:t>
      </w:r>
      <w:r w:rsidR="006115BF" w:rsidRPr="00E31E90">
        <w:rPr>
          <w:rFonts w:ascii="Times New Roman" w:hAnsi="Times New Roman" w:cs="Times New Roman"/>
          <w:sz w:val="24"/>
          <w:szCs w:val="24"/>
        </w:rPr>
        <w:t xml:space="preserve">, </w:t>
      </w:r>
      <w:r w:rsidR="002B4E83" w:rsidRPr="00E31E90">
        <w:rPr>
          <w:rFonts w:ascii="Times New Roman" w:hAnsi="Times New Roman" w:cs="Times New Roman"/>
          <w:sz w:val="24"/>
          <w:szCs w:val="24"/>
        </w:rPr>
        <w:t>prihode od dividend</w:t>
      </w:r>
      <w:r w:rsidR="00C96250" w:rsidRPr="00E31E90">
        <w:rPr>
          <w:rFonts w:ascii="Times New Roman" w:hAnsi="Times New Roman" w:cs="Times New Roman"/>
          <w:sz w:val="24"/>
          <w:szCs w:val="24"/>
        </w:rPr>
        <w:t>i</w:t>
      </w:r>
      <w:r w:rsidRPr="00E31E90">
        <w:rPr>
          <w:rFonts w:ascii="Times New Roman" w:hAnsi="Times New Roman" w:cs="Times New Roman"/>
          <w:sz w:val="24"/>
          <w:szCs w:val="24"/>
        </w:rPr>
        <w:t>, te ostale prihode od financijske imovine)</w:t>
      </w:r>
      <w:r w:rsidR="00E033BC" w:rsidRPr="00E31E90">
        <w:rPr>
          <w:rFonts w:ascii="Times New Roman" w:hAnsi="Times New Roman" w:cs="Times New Roman"/>
          <w:sz w:val="24"/>
          <w:szCs w:val="24"/>
        </w:rPr>
        <w:t>, zatim na prihode od nefinancijske imovine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C2203" w:rsidRPr="00E31E90">
        <w:rPr>
          <w:rFonts w:ascii="Times New Roman" w:hAnsi="Times New Roman" w:cs="Times New Roman"/>
          <w:sz w:val="24"/>
          <w:szCs w:val="24"/>
        </w:rPr>
        <w:t>66.400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E033BC" w:rsidRPr="00E31E90">
        <w:rPr>
          <w:rFonts w:ascii="Times New Roman" w:hAnsi="Times New Roman" w:cs="Times New Roman"/>
          <w:sz w:val="24"/>
          <w:szCs w:val="24"/>
        </w:rPr>
        <w:t xml:space="preserve"> (</w:t>
      </w:r>
      <w:r w:rsidRPr="00E31E90">
        <w:rPr>
          <w:rFonts w:ascii="Times New Roman" w:hAnsi="Times New Roman" w:cs="Times New Roman"/>
          <w:sz w:val="24"/>
          <w:szCs w:val="24"/>
        </w:rPr>
        <w:t>prihod</w:t>
      </w:r>
      <w:r w:rsidR="00E033BC" w:rsidRPr="00E31E90">
        <w:rPr>
          <w:rFonts w:ascii="Times New Roman" w:hAnsi="Times New Roman" w:cs="Times New Roman"/>
          <w:sz w:val="24"/>
          <w:szCs w:val="24"/>
        </w:rPr>
        <w:t>i</w:t>
      </w:r>
      <w:r w:rsidRPr="00E31E90">
        <w:rPr>
          <w:rFonts w:ascii="Times New Roman" w:hAnsi="Times New Roman" w:cs="Times New Roman"/>
          <w:sz w:val="24"/>
          <w:szCs w:val="24"/>
        </w:rPr>
        <w:t xml:space="preserve"> od zakupa poslovnih prostora i najma stanova u vlasništvu RH, a koji su bili na upravljanju u pravnim prednicima Centra</w:t>
      </w:r>
      <w:r w:rsidR="00E033BC" w:rsidRPr="00E31E90">
        <w:rPr>
          <w:rFonts w:ascii="Times New Roman" w:hAnsi="Times New Roman" w:cs="Times New Roman"/>
          <w:sz w:val="24"/>
          <w:szCs w:val="24"/>
        </w:rPr>
        <w:t xml:space="preserve">) te na prihode od kamata na dane zajmove </w:t>
      </w:r>
      <w:r w:rsidR="00C96250" w:rsidRPr="00E31E9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933EC5" w:rsidRPr="00E31E90">
        <w:rPr>
          <w:rFonts w:ascii="Times New Roman" w:hAnsi="Times New Roman" w:cs="Times New Roman"/>
          <w:sz w:val="24"/>
          <w:szCs w:val="24"/>
        </w:rPr>
        <w:t>92.900</w:t>
      </w:r>
      <w:r w:rsidR="00CA66B4" w:rsidRPr="00E31E90">
        <w:rPr>
          <w:rFonts w:ascii="Times New Roman" w:hAnsi="Times New Roman" w:cs="Times New Roman"/>
          <w:sz w:val="24"/>
          <w:szCs w:val="24"/>
        </w:rPr>
        <w:t>,</w:t>
      </w:r>
      <w:r w:rsidR="004B1DEA" w:rsidRPr="00E31E90">
        <w:rPr>
          <w:rFonts w:ascii="Times New Roman" w:hAnsi="Times New Roman" w:cs="Times New Roman"/>
          <w:sz w:val="24"/>
          <w:szCs w:val="24"/>
        </w:rPr>
        <w:t>00</w:t>
      </w:r>
      <w:r w:rsidR="00933EC5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E033BC" w:rsidRPr="00E31E90">
        <w:rPr>
          <w:rFonts w:ascii="Times New Roman" w:hAnsi="Times New Roman" w:cs="Times New Roman"/>
          <w:sz w:val="24"/>
          <w:szCs w:val="24"/>
        </w:rPr>
        <w:t xml:space="preserve"> (</w:t>
      </w:r>
      <w:r w:rsidRPr="00E31E90">
        <w:rPr>
          <w:rFonts w:ascii="Times New Roman" w:hAnsi="Times New Roman" w:cs="Times New Roman"/>
          <w:sz w:val="24"/>
          <w:szCs w:val="24"/>
        </w:rPr>
        <w:t>prihod</w:t>
      </w:r>
      <w:r w:rsidR="00E033BC" w:rsidRPr="00E31E90">
        <w:rPr>
          <w:rFonts w:ascii="Times New Roman" w:hAnsi="Times New Roman" w:cs="Times New Roman"/>
          <w:sz w:val="24"/>
          <w:szCs w:val="24"/>
        </w:rPr>
        <w:t>i</w:t>
      </w:r>
      <w:r w:rsidRPr="00E31E90">
        <w:rPr>
          <w:rFonts w:ascii="Times New Roman" w:hAnsi="Times New Roman" w:cs="Times New Roman"/>
          <w:sz w:val="24"/>
          <w:szCs w:val="24"/>
        </w:rPr>
        <w:t xml:space="preserve"> od kamata po ranije danim zajmovima te sklopljenim predstečajnim nagodbama i stečajnim postupcima</w:t>
      </w:r>
      <w:r w:rsidR="00E033BC" w:rsidRPr="00E31E90">
        <w:rPr>
          <w:rFonts w:ascii="Times New Roman" w:hAnsi="Times New Roman" w:cs="Times New Roman"/>
          <w:sz w:val="24"/>
          <w:szCs w:val="24"/>
        </w:rPr>
        <w:t>)</w:t>
      </w:r>
      <w:r w:rsidRPr="00E31E90">
        <w:rPr>
          <w:rFonts w:ascii="Times New Roman" w:hAnsi="Times New Roman" w:cs="Times New Roman"/>
          <w:sz w:val="24"/>
          <w:szCs w:val="24"/>
        </w:rPr>
        <w:t>;</w:t>
      </w:r>
    </w:p>
    <w:p w14:paraId="131C5334" w14:textId="2905DB93" w:rsidR="00C238AE" w:rsidRPr="00E31E90" w:rsidRDefault="00C238AE" w:rsidP="00CA1CCC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Prihodi</w:t>
      </w:r>
      <w:r w:rsidR="00E033BC" w:rsidRPr="00E31E90">
        <w:rPr>
          <w:rFonts w:ascii="Times New Roman" w:hAnsi="Times New Roman" w:cs="Times New Roman"/>
          <w:b/>
          <w:sz w:val="24"/>
          <w:szCs w:val="24"/>
        </w:rPr>
        <w:t xml:space="preserve"> od upravnih i administ</w:t>
      </w:r>
      <w:r w:rsidR="004B2577" w:rsidRPr="00E31E90">
        <w:rPr>
          <w:rFonts w:ascii="Times New Roman" w:hAnsi="Times New Roman" w:cs="Times New Roman"/>
          <w:b/>
          <w:sz w:val="24"/>
          <w:szCs w:val="24"/>
        </w:rPr>
        <w:t>rativnih pristojbi, pristojbi</w:t>
      </w:r>
      <w:r w:rsidRPr="00E31E90">
        <w:rPr>
          <w:rFonts w:ascii="Times New Roman" w:hAnsi="Times New Roman" w:cs="Times New Roman"/>
          <w:b/>
          <w:sz w:val="24"/>
          <w:szCs w:val="24"/>
        </w:rPr>
        <w:t xml:space="preserve"> po posebnim propisima</w:t>
      </w:r>
      <w:r w:rsidR="004B2577" w:rsidRPr="00E31E90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A6FE8" w:rsidRPr="00E31E90">
        <w:rPr>
          <w:rFonts w:ascii="Times New Roman" w:hAnsi="Times New Roman" w:cs="Times New Roman"/>
          <w:b/>
          <w:sz w:val="24"/>
          <w:szCs w:val="24"/>
        </w:rPr>
        <w:t>naknada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3EC5" w:rsidRPr="00E31E90">
        <w:rPr>
          <w:rFonts w:ascii="Times New Roman" w:hAnsi="Times New Roman" w:cs="Times New Roman"/>
          <w:sz w:val="24"/>
          <w:szCs w:val="24"/>
        </w:rPr>
        <w:t>4.700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>;</w:t>
      </w:r>
    </w:p>
    <w:p w14:paraId="40B0B086" w14:textId="60989457" w:rsidR="00C238AE" w:rsidRPr="00E31E90" w:rsidRDefault="00C238AE" w:rsidP="00CA1CCC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 xml:space="preserve">Prihodi od </w:t>
      </w:r>
      <w:r w:rsidR="001A6FE8" w:rsidRPr="00E31E90">
        <w:rPr>
          <w:rFonts w:ascii="Times New Roman" w:hAnsi="Times New Roman" w:cs="Times New Roman"/>
          <w:b/>
          <w:sz w:val="24"/>
          <w:szCs w:val="24"/>
        </w:rPr>
        <w:t xml:space="preserve">prodaje proizvoda i robe te </w:t>
      </w:r>
      <w:r w:rsidRPr="00E31E90">
        <w:rPr>
          <w:rFonts w:ascii="Times New Roman" w:hAnsi="Times New Roman" w:cs="Times New Roman"/>
          <w:b/>
          <w:sz w:val="24"/>
          <w:szCs w:val="24"/>
        </w:rPr>
        <w:t>pruženih usluga</w:t>
      </w:r>
      <w:r w:rsidR="001A6FE8" w:rsidRPr="00E31E90">
        <w:rPr>
          <w:rFonts w:ascii="Times New Roman" w:hAnsi="Times New Roman" w:cs="Times New Roman"/>
          <w:b/>
          <w:sz w:val="24"/>
          <w:szCs w:val="24"/>
        </w:rPr>
        <w:t xml:space="preserve"> i prihodi od donacija</w:t>
      </w:r>
      <w:r w:rsidR="006C6D05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96250" w:rsidRPr="00E31E90">
        <w:rPr>
          <w:rFonts w:ascii="Times New Roman" w:hAnsi="Times New Roman" w:cs="Times New Roman"/>
          <w:sz w:val="24"/>
          <w:szCs w:val="24"/>
        </w:rPr>
        <w:t>u iznosu od 1</w:t>
      </w:r>
      <w:r w:rsidR="00933EC5" w:rsidRPr="00E31E90">
        <w:rPr>
          <w:rFonts w:ascii="Times New Roman" w:hAnsi="Times New Roman" w:cs="Times New Roman"/>
          <w:sz w:val="24"/>
          <w:szCs w:val="24"/>
        </w:rPr>
        <w:t>.327.200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CA66B4" w:rsidRPr="00E31E90">
        <w:rPr>
          <w:rFonts w:ascii="Times New Roman" w:hAnsi="Times New Roman" w:cs="Times New Roman"/>
          <w:sz w:val="24"/>
          <w:szCs w:val="24"/>
        </w:rPr>
        <w:t>,</w:t>
      </w:r>
      <w:r w:rsidR="00347CC9" w:rsidRPr="00E31E90">
        <w:rPr>
          <w:rFonts w:ascii="Times New Roman" w:hAnsi="Times New Roman" w:cs="Times New Roman"/>
          <w:sz w:val="24"/>
          <w:szCs w:val="24"/>
        </w:rPr>
        <w:t xml:space="preserve"> odnose se na planirane prihode od naknade u iznosu od 6% za prodaju dionica/udjela iz portfelja RH i HZMO-a sukladno odredbama Odluke o visini naknade za upravljanje i raspolaganje dionicama i udjelima kojima upravlja Centar za restrukturiranje i prodaju (NN 39/2019, dalje u tekstu: Odluka) te planiranu naknadu za isplaćenu dividendu u iznosu od 3% za trgovačka društva iz portfelja RH i HZMO-a sukladno odredbama Odluke, na planirane prihode od izdanih ponudbenih dokumentacija za prodaju dionica/udjela društava iz portfelja Centra, </w:t>
      </w:r>
      <w:r w:rsidR="00CA66B4" w:rsidRPr="00E31E90">
        <w:rPr>
          <w:rFonts w:ascii="Times New Roman" w:hAnsi="Times New Roman" w:cs="Times New Roman"/>
          <w:sz w:val="24"/>
          <w:szCs w:val="24"/>
        </w:rPr>
        <w:t>RH</w:t>
      </w:r>
      <w:r w:rsidR="00347CC9" w:rsidRPr="00E31E90">
        <w:rPr>
          <w:rFonts w:ascii="Times New Roman" w:hAnsi="Times New Roman" w:cs="Times New Roman"/>
          <w:sz w:val="24"/>
          <w:szCs w:val="24"/>
        </w:rPr>
        <w:t xml:space="preserve"> i HZMO-a, na planirane prihode od izdanih iskaza nekretnina i sl.;</w:t>
      </w:r>
    </w:p>
    <w:p w14:paraId="5570C993" w14:textId="2F81040E" w:rsidR="00C238AE" w:rsidRPr="00E31E90" w:rsidRDefault="001A6FE8" w:rsidP="00CA1CCC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Kazne, upravne mjere i o</w:t>
      </w:r>
      <w:r w:rsidR="00C238AE" w:rsidRPr="00E31E90">
        <w:rPr>
          <w:rFonts w:ascii="Times New Roman" w:hAnsi="Times New Roman" w:cs="Times New Roman"/>
          <w:b/>
          <w:sz w:val="24"/>
          <w:szCs w:val="24"/>
        </w:rPr>
        <w:t>stali prihodi</w:t>
      </w:r>
      <w:r w:rsidR="002B4E83"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33EC5" w:rsidRPr="00E31E90">
        <w:rPr>
          <w:rFonts w:ascii="Times New Roman" w:hAnsi="Times New Roman" w:cs="Times New Roman"/>
          <w:sz w:val="24"/>
          <w:szCs w:val="24"/>
        </w:rPr>
        <w:t>663.600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CA66B4" w:rsidRPr="00E31E90">
        <w:rPr>
          <w:rFonts w:ascii="Times New Roman" w:hAnsi="Times New Roman" w:cs="Times New Roman"/>
          <w:sz w:val="24"/>
          <w:szCs w:val="24"/>
        </w:rPr>
        <w:t>,</w:t>
      </w:r>
      <w:r w:rsidR="007A61C2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odnose </w:t>
      </w:r>
      <w:r w:rsidR="007A61C2" w:rsidRPr="00E31E90">
        <w:rPr>
          <w:rFonts w:ascii="Times New Roman" w:hAnsi="Times New Roman" w:cs="Times New Roman"/>
          <w:sz w:val="24"/>
          <w:szCs w:val="24"/>
        </w:rPr>
        <w:t xml:space="preserve">se 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na planirane prihode po sudskim nagodbama, planirane prihode od nadoknade parničnih troškova te planirane prihode od </w:t>
      </w:r>
      <w:proofErr w:type="spellStart"/>
      <w:r w:rsidR="00C238AE" w:rsidRPr="00E31E90">
        <w:rPr>
          <w:rFonts w:ascii="Times New Roman" w:hAnsi="Times New Roman" w:cs="Times New Roman"/>
          <w:sz w:val="24"/>
          <w:szCs w:val="24"/>
        </w:rPr>
        <w:t>prefakturiranih</w:t>
      </w:r>
      <w:proofErr w:type="spellEnd"/>
      <w:r w:rsidR="00C238AE" w:rsidRPr="00E31E90">
        <w:rPr>
          <w:rFonts w:ascii="Times New Roman" w:hAnsi="Times New Roman" w:cs="Times New Roman"/>
          <w:sz w:val="24"/>
          <w:szCs w:val="24"/>
        </w:rPr>
        <w:t xml:space="preserve"> režijskih troškova sukladno Sporazumu o raspodjeli i načinu plaćanja troškova nekretnine u Zagrebu, Ivana Lučića 6-8 sklopljenog 25.07.2017. godine.</w:t>
      </w:r>
    </w:p>
    <w:p w14:paraId="62F1FA18" w14:textId="49977759" w:rsidR="00C238AE" w:rsidRPr="00E31E90" w:rsidRDefault="00C238AE" w:rsidP="0043788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prihodi</w:t>
      </w:r>
      <w:r w:rsidR="007A63FE" w:rsidRPr="00E31E90">
        <w:rPr>
          <w:rFonts w:ascii="Times New Roman" w:hAnsi="Times New Roman" w:cs="Times New Roman"/>
          <w:sz w:val="24"/>
          <w:szCs w:val="24"/>
        </w:rPr>
        <w:t xml:space="preserve"> poslovanja za 202</w:t>
      </w:r>
      <w:r w:rsidR="00933EC5" w:rsidRPr="00E31E90">
        <w:rPr>
          <w:rFonts w:ascii="Times New Roman" w:hAnsi="Times New Roman" w:cs="Times New Roman"/>
          <w:sz w:val="24"/>
          <w:szCs w:val="24"/>
        </w:rPr>
        <w:t>3</w:t>
      </w:r>
      <w:r w:rsidR="00C96250" w:rsidRPr="00E31E90">
        <w:rPr>
          <w:rFonts w:ascii="Times New Roman" w:hAnsi="Times New Roman" w:cs="Times New Roman"/>
          <w:sz w:val="24"/>
          <w:szCs w:val="24"/>
        </w:rPr>
        <w:t xml:space="preserve">. godinu </w:t>
      </w:r>
      <w:r w:rsidR="003517B2" w:rsidRPr="00E31E90">
        <w:rPr>
          <w:rFonts w:ascii="Times New Roman" w:hAnsi="Times New Roman" w:cs="Times New Roman"/>
          <w:sz w:val="24"/>
          <w:szCs w:val="24"/>
        </w:rPr>
        <w:t xml:space="preserve">u odnosu na planirane prihode poslovanja za 2022. godinu </w:t>
      </w:r>
      <w:r w:rsidR="00C96250" w:rsidRPr="00E31E90">
        <w:rPr>
          <w:rFonts w:ascii="Times New Roman" w:hAnsi="Times New Roman" w:cs="Times New Roman"/>
          <w:sz w:val="24"/>
          <w:szCs w:val="24"/>
        </w:rPr>
        <w:t>manji</w:t>
      </w:r>
      <w:r w:rsidRPr="00E31E90">
        <w:rPr>
          <w:rFonts w:ascii="Times New Roman" w:hAnsi="Times New Roman" w:cs="Times New Roman"/>
          <w:sz w:val="24"/>
          <w:szCs w:val="24"/>
        </w:rPr>
        <w:t xml:space="preserve"> su za iznos od </w:t>
      </w:r>
      <w:r w:rsidR="00C96250" w:rsidRPr="00E31E90">
        <w:rPr>
          <w:rFonts w:ascii="Times New Roman" w:hAnsi="Times New Roman" w:cs="Times New Roman"/>
          <w:sz w:val="24"/>
          <w:szCs w:val="24"/>
        </w:rPr>
        <w:t>1</w:t>
      </w:r>
      <w:r w:rsidR="00933EC5" w:rsidRPr="00E31E90">
        <w:rPr>
          <w:rFonts w:ascii="Times New Roman" w:hAnsi="Times New Roman" w:cs="Times New Roman"/>
          <w:sz w:val="24"/>
          <w:szCs w:val="24"/>
        </w:rPr>
        <w:t>.141.980</w:t>
      </w:r>
      <w:r w:rsidRPr="00E31E90">
        <w:rPr>
          <w:rFonts w:ascii="Times New Roman" w:hAnsi="Times New Roman" w:cs="Times New Roman"/>
          <w:sz w:val="24"/>
          <w:szCs w:val="24"/>
        </w:rPr>
        <w:t>,</w:t>
      </w:r>
      <w:r w:rsidR="00933EC5" w:rsidRPr="00E31E90">
        <w:rPr>
          <w:rFonts w:ascii="Times New Roman" w:hAnsi="Times New Roman" w:cs="Times New Roman"/>
          <w:sz w:val="24"/>
          <w:szCs w:val="24"/>
        </w:rPr>
        <w:t>91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>, tj. za</w:t>
      </w:r>
      <w:r w:rsidR="00896FC4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1C2B17" w:rsidRPr="00E31E90">
        <w:rPr>
          <w:rFonts w:ascii="Times New Roman" w:hAnsi="Times New Roman" w:cs="Times New Roman"/>
          <w:sz w:val="24"/>
          <w:szCs w:val="24"/>
        </w:rPr>
        <w:t>18,29</w:t>
      </w:r>
      <w:r w:rsidRPr="00E31E90">
        <w:rPr>
          <w:rFonts w:ascii="Times New Roman" w:hAnsi="Times New Roman" w:cs="Times New Roman"/>
          <w:sz w:val="24"/>
          <w:szCs w:val="24"/>
        </w:rPr>
        <w:t>%,</w:t>
      </w:r>
      <w:r w:rsidR="00C96250" w:rsidRPr="00E31E90">
        <w:rPr>
          <w:rFonts w:ascii="Times New Roman" w:hAnsi="Times New Roman" w:cs="Times New Roman"/>
          <w:sz w:val="24"/>
          <w:szCs w:val="24"/>
        </w:rPr>
        <w:t xml:space="preserve"> iz razloga što se u 202</w:t>
      </w:r>
      <w:r w:rsidR="001C2B17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godini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 očekuje </w:t>
      </w:r>
      <w:r w:rsidR="0021313F" w:rsidRPr="00E31E90">
        <w:rPr>
          <w:rFonts w:ascii="Times New Roman" w:hAnsi="Times New Roman" w:cs="Times New Roman"/>
          <w:sz w:val="24"/>
          <w:szCs w:val="24"/>
        </w:rPr>
        <w:t>manja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 realizacija</w:t>
      </w:r>
      <w:r w:rsidRPr="00E31E90">
        <w:rPr>
          <w:rFonts w:ascii="Times New Roman" w:hAnsi="Times New Roman" w:cs="Times New Roman"/>
          <w:sz w:val="24"/>
          <w:szCs w:val="24"/>
        </w:rPr>
        <w:t xml:space="preserve"> prodaje dionica/udjela trgovačkih društava iz portfelja RH i HZMO-a, a time i </w:t>
      </w:r>
      <w:r w:rsidR="00C96250" w:rsidRPr="00E31E90">
        <w:rPr>
          <w:rFonts w:ascii="Times New Roman" w:hAnsi="Times New Roman" w:cs="Times New Roman"/>
          <w:sz w:val="24"/>
          <w:szCs w:val="24"/>
        </w:rPr>
        <w:t>manji</w:t>
      </w:r>
      <w:r w:rsidRPr="00E31E90">
        <w:rPr>
          <w:rFonts w:ascii="Times New Roman" w:hAnsi="Times New Roman" w:cs="Times New Roman"/>
          <w:sz w:val="24"/>
          <w:szCs w:val="24"/>
        </w:rPr>
        <w:t xml:space="preserve"> prihod Centra od naknada sukladno Odluci. </w:t>
      </w:r>
    </w:p>
    <w:p w14:paraId="7D26F3D4" w14:textId="77777777" w:rsidR="001C2B17" w:rsidRPr="00E31E90" w:rsidRDefault="001C2B17" w:rsidP="002218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030B1" w14:textId="23C26327" w:rsidR="00C238AE" w:rsidRDefault="00C238AE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14:paraId="7362A40F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0CB4" w14:textId="77777777" w:rsidR="00AD4A7F" w:rsidRPr="00E31E90" w:rsidRDefault="00C238AE" w:rsidP="00AD4A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prihodi od proda</w:t>
      </w:r>
      <w:r w:rsidR="00C96250" w:rsidRPr="00E31E90">
        <w:rPr>
          <w:rFonts w:ascii="Times New Roman" w:hAnsi="Times New Roman" w:cs="Times New Roman"/>
          <w:sz w:val="24"/>
          <w:szCs w:val="24"/>
        </w:rPr>
        <w:t>je nefinancijske imovine za 202</w:t>
      </w:r>
      <w:r w:rsidR="001C2B17" w:rsidRPr="00E31E90">
        <w:rPr>
          <w:rFonts w:ascii="Times New Roman" w:hAnsi="Times New Roman" w:cs="Times New Roman"/>
          <w:sz w:val="24"/>
          <w:szCs w:val="24"/>
        </w:rPr>
        <w:t>3</w:t>
      </w:r>
      <w:r w:rsidR="00336540" w:rsidRPr="00E31E90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1C2B17" w:rsidRPr="00E31E90">
        <w:rPr>
          <w:rFonts w:ascii="Times New Roman" w:hAnsi="Times New Roman" w:cs="Times New Roman"/>
          <w:sz w:val="24"/>
          <w:szCs w:val="24"/>
        </w:rPr>
        <w:t>79.600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i odnose se na</w:t>
      </w:r>
      <w:r w:rsidR="001A6FE8" w:rsidRPr="00E31E90">
        <w:rPr>
          <w:rFonts w:ascii="Times New Roman" w:hAnsi="Times New Roman" w:cs="Times New Roman"/>
          <w:sz w:val="24"/>
          <w:szCs w:val="24"/>
        </w:rPr>
        <w:t xml:space="preserve"> sljedeće planirane pri</w:t>
      </w:r>
      <w:r w:rsidR="00AD4A7F" w:rsidRPr="00E31E90">
        <w:rPr>
          <w:rFonts w:ascii="Times New Roman" w:hAnsi="Times New Roman" w:cs="Times New Roman"/>
          <w:sz w:val="24"/>
          <w:szCs w:val="24"/>
        </w:rPr>
        <w:t>hode:</w:t>
      </w:r>
    </w:p>
    <w:p w14:paraId="46700167" w14:textId="54DD832E" w:rsidR="00AD4A7F" w:rsidRPr="00E31E90" w:rsidRDefault="00AD4A7F" w:rsidP="00AD4A7F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 xml:space="preserve">Prihodi od prodaje </w:t>
      </w:r>
      <w:proofErr w:type="spellStart"/>
      <w:r w:rsidRPr="00E31E90">
        <w:rPr>
          <w:rFonts w:ascii="Times New Roman" w:hAnsi="Times New Roman" w:cs="Times New Roman"/>
          <w:b/>
          <w:sz w:val="24"/>
          <w:szCs w:val="24"/>
        </w:rPr>
        <w:t>neproizvedene</w:t>
      </w:r>
      <w:proofErr w:type="spellEnd"/>
      <w:r w:rsidRPr="00E31E90">
        <w:rPr>
          <w:rFonts w:ascii="Times New Roman" w:hAnsi="Times New Roman" w:cs="Times New Roman"/>
          <w:b/>
          <w:sz w:val="24"/>
          <w:szCs w:val="24"/>
        </w:rPr>
        <w:t xml:space="preserve"> imovine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39.800,00 eura, odnose se na prihode od</w:t>
      </w:r>
      <w:r w:rsidR="00287324" w:rsidRPr="00E31E90">
        <w:rPr>
          <w:rFonts w:ascii="Times New Roman" w:hAnsi="Times New Roman" w:cs="Times New Roman"/>
          <w:sz w:val="24"/>
          <w:szCs w:val="24"/>
        </w:rPr>
        <w:t xml:space="preserve"> prodaje nekretnina u vlasništvu Centra;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2A9A1" w14:textId="7A60778E" w:rsidR="00AD4A7F" w:rsidRPr="00E31E90" w:rsidRDefault="00AD4A7F" w:rsidP="00AD4A7F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od </w:t>
      </w:r>
      <w:r w:rsidR="00287324" w:rsidRPr="00E31E90">
        <w:rPr>
          <w:rFonts w:ascii="Times New Roman" w:hAnsi="Times New Roman" w:cs="Times New Roman"/>
          <w:b/>
          <w:sz w:val="24"/>
          <w:szCs w:val="24"/>
        </w:rPr>
        <w:t>prodaje proizvedene dugotrajne imovine</w:t>
      </w:r>
      <w:r w:rsidR="00287324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87324" w:rsidRPr="00E31E90">
        <w:rPr>
          <w:rFonts w:ascii="Times New Roman" w:hAnsi="Times New Roman" w:cs="Times New Roman"/>
          <w:sz w:val="24"/>
          <w:szCs w:val="24"/>
        </w:rPr>
        <w:t xml:space="preserve">39.800,00 </w:t>
      </w:r>
      <w:r w:rsidRPr="00E31E90">
        <w:rPr>
          <w:rFonts w:ascii="Times New Roman" w:hAnsi="Times New Roman" w:cs="Times New Roman"/>
          <w:sz w:val="24"/>
          <w:szCs w:val="24"/>
        </w:rPr>
        <w:t>eura</w:t>
      </w:r>
      <w:r w:rsidR="00287324" w:rsidRPr="00E31E90">
        <w:rPr>
          <w:rFonts w:ascii="Times New Roman" w:hAnsi="Times New Roman" w:cs="Times New Roman"/>
          <w:sz w:val="24"/>
          <w:szCs w:val="24"/>
        </w:rPr>
        <w:t>, odnose se na prihode od prodanih stambenih i poslovnih objekata.</w:t>
      </w:r>
    </w:p>
    <w:p w14:paraId="4EB8E9D7" w14:textId="1C2816D0" w:rsidR="008512A6" w:rsidRPr="00E31E90" w:rsidRDefault="00B2730F" w:rsidP="006C6BC7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prihod od prodaje nefinancijske imovine za 2023. godinu u odnosu na planiran</w:t>
      </w:r>
      <w:r w:rsidR="00287324" w:rsidRPr="00E31E90">
        <w:rPr>
          <w:rFonts w:ascii="Times New Roman" w:hAnsi="Times New Roman" w:cs="Times New Roman"/>
          <w:sz w:val="24"/>
          <w:szCs w:val="24"/>
        </w:rPr>
        <w:t>e</w:t>
      </w:r>
      <w:r w:rsidRPr="00E31E90">
        <w:rPr>
          <w:rFonts w:ascii="Times New Roman" w:hAnsi="Times New Roman" w:cs="Times New Roman"/>
          <w:sz w:val="24"/>
          <w:szCs w:val="24"/>
        </w:rPr>
        <w:t xml:space="preserve"> prihod</w:t>
      </w:r>
      <w:r w:rsidR="00287324" w:rsidRPr="00E31E90">
        <w:rPr>
          <w:rFonts w:ascii="Times New Roman" w:hAnsi="Times New Roman" w:cs="Times New Roman"/>
          <w:sz w:val="24"/>
          <w:szCs w:val="24"/>
        </w:rPr>
        <w:t>e</w:t>
      </w:r>
      <w:r w:rsidRPr="00E31E90">
        <w:rPr>
          <w:rFonts w:ascii="Times New Roman" w:hAnsi="Times New Roman" w:cs="Times New Roman"/>
          <w:sz w:val="24"/>
          <w:szCs w:val="24"/>
        </w:rPr>
        <w:t xml:space="preserve"> od prodaje nefinancijske imovine za 2022. godinu </w:t>
      </w:r>
      <w:r w:rsidR="001C2B17" w:rsidRPr="00E31E90">
        <w:rPr>
          <w:rFonts w:ascii="Times New Roman" w:hAnsi="Times New Roman" w:cs="Times New Roman"/>
          <w:sz w:val="24"/>
          <w:szCs w:val="24"/>
        </w:rPr>
        <w:t xml:space="preserve">manji </w:t>
      </w:r>
      <w:r w:rsidR="00287324" w:rsidRPr="00E31E90">
        <w:rPr>
          <w:rFonts w:ascii="Times New Roman" w:hAnsi="Times New Roman" w:cs="Times New Roman"/>
          <w:sz w:val="24"/>
          <w:szCs w:val="24"/>
        </w:rPr>
        <w:t xml:space="preserve">su </w:t>
      </w:r>
      <w:r w:rsidR="001C2B17" w:rsidRPr="00E31E90">
        <w:rPr>
          <w:rFonts w:ascii="Times New Roman" w:hAnsi="Times New Roman" w:cs="Times New Roman"/>
          <w:sz w:val="24"/>
          <w:szCs w:val="24"/>
        </w:rPr>
        <w:t xml:space="preserve">za iznos od 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1.818.336,16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 xml:space="preserve">tj. </w:t>
      </w:r>
      <w:r w:rsidR="00E31E90" w:rsidRPr="00E31E90">
        <w:rPr>
          <w:rFonts w:ascii="Times New Roman" w:hAnsi="Times New Roman" w:cs="Times New Roman"/>
          <w:sz w:val="24"/>
          <w:szCs w:val="24"/>
        </w:rPr>
        <w:t>Z</w:t>
      </w:r>
      <w:r w:rsidRPr="00E31E90">
        <w:rPr>
          <w:rFonts w:ascii="Times New Roman" w:hAnsi="Times New Roman" w:cs="Times New Roman"/>
          <w:sz w:val="24"/>
          <w:szCs w:val="24"/>
        </w:rPr>
        <w:t xml:space="preserve">a </w:t>
      </w:r>
      <w:r w:rsidR="00D00FFA" w:rsidRPr="00E31E90">
        <w:rPr>
          <w:rFonts w:ascii="Times New Roman" w:hAnsi="Times New Roman" w:cs="Times New Roman"/>
          <w:sz w:val="24"/>
          <w:szCs w:val="24"/>
        </w:rPr>
        <w:t>95,81</w:t>
      </w:r>
      <w:r w:rsidRPr="00E31E90">
        <w:rPr>
          <w:rFonts w:ascii="Times New Roman" w:hAnsi="Times New Roman" w:cs="Times New Roman"/>
          <w:sz w:val="24"/>
          <w:szCs w:val="24"/>
        </w:rPr>
        <w:t>%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 iz razloga što se u 202</w:t>
      </w:r>
      <w:r w:rsidR="00221801" w:rsidRPr="00E31E90">
        <w:rPr>
          <w:rFonts w:ascii="Times New Roman" w:hAnsi="Times New Roman" w:cs="Times New Roman"/>
          <w:sz w:val="24"/>
          <w:szCs w:val="24"/>
        </w:rPr>
        <w:t>3</w:t>
      </w:r>
      <w:r w:rsidR="004E37FF" w:rsidRPr="00E31E90">
        <w:rPr>
          <w:rFonts w:ascii="Times New Roman" w:hAnsi="Times New Roman" w:cs="Times New Roman"/>
          <w:sz w:val="24"/>
          <w:szCs w:val="24"/>
        </w:rPr>
        <w:t>. godini oček</w:t>
      </w:r>
      <w:r w:rsidR="00221801" w:rsidRPr="00E31E90">
        <w:rPr>
          <w:rFonts w:ascii="Times New Roman" w:hAnsi="Times New Roman" w:cs="Times New Roman"/>
          <w:sz w:val="24"/>
          <w:szCs w:val="24"/>
        </w:rPr>
        <w:t>uje manja realizacija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 prodaj</w:t>
      </w:r>
      <w:r w:rsidR="00221801" w:rsidRPr="00E31E90">
        <w:rPr>
          <w:rFonts w:ascii="Times New Roman" w:hAnsi="Times New Roman" w:cs="Times New Roman"/>
          <w:sz w:val="24"/>
          <w:szCs w:val="24"/>
        </w:rPr>
        <w:t>e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 nekretnin</w:t>
      </w:r>
      <w:r w:rsidR="00221801" w:rsidRPr="00E31E90">
        <w:rPr>
          <w:rFonts w:ascii="Times New Roman" w:hAnsi="Times New Roman" w:cs="Times New Roman"/>
          <w:sz w:val="24"/>
          <w:szCs w:val="24"/>
        </w:rPr>
        <w:t>a</w:t>
      </w:r>
      <w:r w:rsidR="004E37FF" w:rsidRPr="00E31E90">
        <w:rPr>
          <w:rFonts w:ascii="Times New Roman" w:hAnsi="Times New Roman" w:cs="Times New Roman"/>
          <w:sz w:val="24"/>
          <w:szCs w:val="24"/>
        </w:rPr>
        <w:t xml:space="preserve"> u vlasništvu Centra.</w:t>
      </w:r>
    </w:p>
    <w:p w14:paraId="377333E7" w14:textId="77777777" w:rsidR="00B2730F" w:rsidRPr="00E31E90" w:rsidRDefault="00B2730F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E6DA3" w14:textId="3AE23310" w:rsidR="008512A6" w:rsidRDefault="008512A6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RASHODI POSLOVANJA</w:t>
      </w:r>
      <w:r w:rsidR="00B86736" w:rsidRPr="00E31E90">
        <w:rPr>
          <w:rFonts w:ascii="Times New Roman" w:hAnsi="Times New Roman" w:cs="Times New Roman"/>
          <w:b/>
          <w:sz w:val="24"/>
          <w:szCs w:val="24"/>
        </w:rPr>
        <w:t xml:space="preserve"> I RASHODI ZA NABAVU NEFINANCIJSKE IMOVINE</w:t>
      </w:r>
    </w:p>
    <w:p w14:paraId="12CDC827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571DCD" w14:textId="59C8D250" w:rsidR="004F5052" w:rsidRPr="00E31E90" w:rsidRDefault="00C96250" w:rsidP="00E31E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je za razdoblje 202</w:t>
      </w:r>
      <w:r w:rsidR="004F0913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- 202</w:t>
      </w:r>
      <w:r w:rsidR="004F0913" w:rsidRPr="00E31E90">
        <w:rPr>
          <w:rFonts w:ascii="Times New Roman" w:hAnsi="Times New Roman" w:cs="Times New Roman"/>
          <w:sz w:val="24"/>
          <w:szCs w:val="24"/>
        </w:rPr>
        <w:t>5</w:t>
      </w:r>
      <w:r w:rsidR="00C238AE" w:rsidRPr="00E31E90">
        <w:rPr>
          <w:rFonts w:ascii="Times New Roman" w:hAnsi="Times New Roman" w:cs="Times New Roman"/>
          <w:sz w:val="24"/>
          <w:szCs w:val="24"/>
        </w:rPr>
        <w:t>. godine planirao rashode</w:t>
      </w:r>
      <w:r w:rsidR="00437889" w:rsidRPr="00E31E90">
        <w:rPr>
          <w:rFonts w:ascii="Times New Roman" w:hAnsi="Times New Roman" w:cs="Times New Roman"/>
          <w:sz w:val="24"/>
          <w:szCs w:val="24"/>
        </w:rPr>
        <w:t xml:space="preserve"> poslovanja i rashode za nabavu nefinancijske imovine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 u slijedećim iznosima: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1418"/>
        <w:gridCol w:w="1275"/>
        <w:gridCol w:w="1560"/>
        <w:gridCol w:w="1559"/>
      </w:tblGrid>
      <w:tr w:rsidR="004F5052" w:rsidRPr="00E31E90" w14:paraId="7BFB9C85" w14:textId="77777777" w:rsidTr="00287324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47A8" w14:textId="77777777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NAZIV RASHODA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BB65" w14:textId="6E7347A6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PLAN ZA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D07B" w14:textId="6380B270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PRIJEDLOG PLANA ZA 2023.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723" w14:textId="75529DDA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INDEKS 2023/2022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E0C4" w14:textId="4285298E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020" w14:textId="2341FA68" w:rsidR="004F5052" w:rsidRPr="00E31E90" w:rsidRDefault="004F5052" w:rsidP="004F50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2025.</w:t>
            </w:r>
          </w:p>
        </w:tc>
      </w:tr>
      <w:tr w:rsidR="004F5052" w:rsidRPr="00E31E90" w14:paraId="37AF9E1F" w14:textId="77777777" w:rsidTr="00287324">
        <w:trPr>
          <w:trHeight w:val="5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8AF" w14:textId="77777777" w:rsidR="004F5052" w:rsidRPr="00E31E90" w:rsidRDefault="004F5052" w:rsidP="004F5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A7C5" w14:textId="2F8FB672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9.991.373,01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B2" w14:textId="19AF4FE8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7.869.800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4F14" w14:textId="7D7EB418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78,77%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43F" w14:textId="2ABC586E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7.236.700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5699" w14:textId="63F770DB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7.014.700</w:t>
            </w:r>
          </w:p>
        </w:tc>
      </w:tr>
      <w:tr w:rsidR="004F5052" w:rsidRPr="00E31E90" w14:paraId="71EF6427" w14:textId="77777777" w:rsidTr="00287324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D3F1" w14:textId="77777777" w:rsidR="004F5052" w:rsidRPr="00E31E90" w:rsidRDefault="004F5052" w:rsidP="004F5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A5BC" w14:textId="0BA48ED3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406.131,79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E754" w14:textId="488ED9D6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216.400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03F9" w14:textId="00CFFF53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53,28%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46AC" w14:textId="127B60F3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196.500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276D" w14:textId="60609D7A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244.500</w:t>
            </w:r>
          </w:p>
        </w:tc>
      </w:tr>
      <w:tr w:rsidR="004F5052" w:rsidRPr="00E31E90" w14:paraId="2A813D0B" w14:textId="77777777" w:rsidTr="00287324">
        <w:trPr>
          <w:trHeight w:val="5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22EF" w14:textId="77777777" w:rsidR="004F5052" w:rsidRPr="00E31E90" w:rsidRDefault="004F5052" w:rsidP="004F50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A8F" w14:textId="7C3261BE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10.397.504,80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81D" w14:textId="2E77CD0C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8.086.200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B56" w14:textId="4682B758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77,77%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1CD" w14:textId="7FFC3C0C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7.433.200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10F7" w14:textId="5EEAB11D" w:rsidR="004F5052" w:rsidRPr="00E31E90" w:rsidRDefault="004F5052" w:rsidP="004F50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7.259.200</w:t>
            </w:r>
          </w:p>
        </w:tc>
      </w:tr>
    </w:tbl>
    <w:p w14:paraId="3B0FA5FD" w14:textId="77777777" w:rsidR="00C238AE" w:rsidRPr="003517B2" w:rsidRDefault="00C238AE" w:rsidP="00437889">
      <w:pPr>
        <w:jc w:val="both"/>
        <w:rPr>
          <w:b/>
        </w:rPr>
      </w:pPr>
    </w:p>
    <w:p w14:paraId="625FB054" w14:textId="75E56BBF" w:rsidR="00B86736" w:rsidRPr="00E31E90" w:rsidRDefault="00B86736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14:paraId="7D63699B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C630E" w14:textId="53559585" w:rsidR="00C238AE" w:rsidRPr="00E31E90" w:rsidRDefault="00C238AE" w:rsidP="006C6BC7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rashodi posl</w:t>
      </w:r>
      <w:r w:rsidR="00613D76" w:rsidRPr="00E31E90">
        <w:rPr>
          <w:rFonts w:ascii="Times New Roman" w:hAnsi="Times New Roman" w:cs="Times New Roman"/>
          <w:sz w:val="24"/>
          <w:szCs w:val="24"/>
        </w:rPr>
        <w:t>ovanja za 202</w:t>
      </w:r>
      <w:r w:rsidR="00E0481A" w:rsidRPr="00E31E90">
        <w:rPr>
          <w:rFonts w:ascii="Times New Roman" w:hAnsi="Times New Roman" w:cs="Times New Roman"/>
          <w:sz w:val="24"/>
          <w:szCs w:val="24"/>
        </w:rPr>
        <w:t>3</w:t>
      </w:r>
      <w:r w:rsidR="00336540" w:rsidRPr="00E31E90">
        <w:rPr>
          <w:rFonts w:ascii="Times New Roman" w:hAnsi="Times New Roman" w:cs="Times New Roman"/>
          <w:sz w:val="24"/>
          <w:szCs w:val="24"/>
        </w:rPr>
        <w:t>. godinu izno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se </w:t>
      </w:r>
      <w:r w:rsidR="00E0481A" w:rsidRPr="00E31E90">
        <w:rPr>
          <w:rFonts w:ascii="Times New Roman" w:hAnsi="Times New Roman" w:cs="Times New Roman"/>
          <w:sz w:val="24"/>
          <w:szCs w:val="24"/>
        </w:rPr>
        <w:t>7.869.800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i odnose se na slijedeće planirane rashode:</w:t>
      </w:r>
    </w:p>
    <w:p w14:paraId="6C70D013" w14:textId="20737F1D" w:rsidR="00C238AE" w:rsidRPr="003C3840" w:rsidRDefault="00C238AE" w:rsidP="006C6BC7">
      <w:pPr>
        <w:pStyle w:val="ListParagraph"/>
        <w:numPr>
          <w:ilvl w:val="0"/>
          <w:numId w:val="2"/>
        </w:numPr>
        <w:spacing w:after="8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25C67" w:rsidRPr="00E31E90">
        <w:rPr>
          <w:rFonts w:ascii="Times New Roman" w:hAnsi="Times New Roman" w:cs="Times New Roman"/>
          <w:sz w:val="24"/>
          <w:szCs w:val="24"/>
        </w:rPr>
        <w:t>2.468.700</w:t>
      </w:r>
      <w:r w:rsidR="00CA66B4"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CA66B4" w:rsidRPr="00E31E90">
        <w:rPr>
          <w:rFonts w:ascii="Times New Roman" w:hAnsi="Times New Roman" w:cs="Times New Roman"/>
          <w:sz w:val="24"/>
          <w:szCs w:val="24"/>
        </w:rPr>
        <w:t>,</w:t>
      </w:r>
      <w:r w:rsidRPr="00E31E90">
        <w:rPr>
          <w:rFonts w:ascii="Times New Roman" w:hAnsi="Times New Roman" w:cs="Times New Roman"/>
          <w:sz w:val="24"/>
          <w:szCs w:val="24"/>
        </w:rPr>
        <w:t xml:space="preserve"> odnose se na planirani iznos bruto </w:t>
      </w:r>
      <w:r w:rsidRPr="003C3840">
        <w:rPr>
          <w:rFonts w:ascii="Times New Roman" w:hAnsi="Times New Roman" w:cs="Times New Roman"/>
          <w:sz w:val="24"/>
          <w:szCs w:val="24"/>
        </w:rPr>
        <w:t>plaća i doprinosa te na isplate jubilarnih nagrada, pomoći i slično;</w:t>
      </w:r>
    </w:p>
    <w:p w14:paraId="3EEB4763" w14:textId="759AF20B" w:rsidR="00C238AE" w:rsidRPr="00AC7F5A" w:rsidRDefault="00C238AE" w:rsidP="006C6BC7">
      <w:pPr>
        <w:pStyle w:val="ListParagraph"/>
        <w:numPr>
          <w:ilvl w:val="0"/>
          <w:numId w:val="2"/>
        </w:numPr>
        <w:spacing w:after="8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7F5A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613D76" w:rsidRPr="00AC7F5A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25C67" w:rsidRPr="00AC7F5A">
        <w:rPr>
          <w:rFonts w:ascii="Times New Roman" w:hAnsi="Times New Roman" w:cs="Times New Roman"/>
          <w:sz w:val="24"/>
          <w:szCs w:val="24"/>
        </w:rPr>
        <w:t>3.259.300</w:t>
      </w:r>
      <w:r w:rsidR="00CA66B4" w:rsidRPr="00AC7F5A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AC7F5A">
        <w:rPr>
          <w:rFonts w:ascii="Times New Roman" w:hAnsi="Times New Roman" w:cs="Times New Roman"/>
          <w:sz w:val="24"/>
          <w:szCs w:val="24"/>
        </w:rPr>
        <w:t>eura</w:t>
      </w:r>
      <w:r w:rsidR="00CA66B4" w:rsidRPr="00AC7F5A">
        <w:rPr>
          <w:rFonts w:ascii="Times New Roman" w:hAnsi="Times New Roman" w:cs="Times New Roman"/>
          <w:sz w:val="24"/>
          <w:szCs w:val="24"/>
        </w:rPr>
        <w:t>,</w:t>
      </w:r>
      <w:r w:rsidRPr="00AC7F5A">
        <w:rPr>
          <w:rFonts w:ascii="Times New Roman" w:hAnsi="Times New Roman" w:cs="Times New Roman"/>
          <w:sz w:val="24"/>
          <w:szCs w:val="24"/>
        </w:rPr>
        <w:t xml:space="preserve"> odnose se na planirane rashode za usluge, naknade troškova zaposlenima, rashode za materijal i energiju,</w:t>
      </w:r>
      <w:r w:rsidR="00896FC4" w:rsidRPr="00AC7F5A">
        <w:rPr>
          <w:rFonts w:ascii="Times New Roman" w:hAnsi="Times New Roman" w:cs="Times New Roman"/>
          <w:sz w:val="24"/>
          <w:szCs w:val="24"/>
        </w:rPr>
        <w:t xml:space="preserve"> </w:t>
      </w:r>
      <w:r w:rsidRPr="00AC7F5A">
        <w:rPr>
          <w:rFonts w:ascii="Times New Roman" w:hAnsi="Times New Roman" w:cs="Times New Roman"/>
          <w:sz w:val="24"/>
          <w:szCs w:val="24"/>
        </w:rPr>
        <w:t>naknade trošk</w:t>
      </w:r>
      <w:r w:rsidR="0038233B" w:rsidRPr="00AC7F5A">
        <w:rPr>
          <w:rFonts w:ascii="Times New Roman" w:hAnsi="Times New Roman" w:cs="Times New Roman"/>
          <w:sz w:val="24"/>
          <w:szCs w:val="24"/>
        </w:rPr>
        <w:t>ova osobama izvan radnog odnosa</w:t>
      </w:r>
      <w:r w:rsidRPr="00AC7F5A">
        <w:rPr>
          <w:rFonts w:ascii="Times New Roman" w:hAnsi="Times New Roman" w:cs="Times New Roman"/>
          <w:sz w:val="24"/>
          <w:szCs w:val="24"/>
        </w:rPr>
        <w:t xml:space="preserve"> i ostale nespomenute rashode poslovanja</w:t>
      </w:r>
      <w:r w:rsidR="003C3840" w:rsidRPr="00AC7F5A">
        <w:rPr>
          <w:rFonts w:ascii="Times New Roman" w:hAnsi="Times New Roman" w:cs="Times New Roman"/>
          <w:sz w:val="24"/>
          <w:szCs w:val="24"/>
        </w:rPr>
        <w:t>. Navedeni rashodi u najvećoj mjeri odnose se na troškove sudskih postupaka koji su planirani u iznosu od 1.698.900,00 eura;</w:t>
      </w:r>
    </w:p>
    <w:p w14:paraId="631E7CC0" w14:textId="4F80A9AA" w:rsidR="00C238AE" w:rsidRPr="00E31E90" w:rsidRDefault="00C238AE" w:rsidP="006C6BC7">
      <w:pPr>
        <w:numPr>
          <w:ilvl w:val="0"/>
          <w:numId w:val="3"/>
        </w:numPr>
        <w:spacing w:after="8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13D76" w:rsidRPr="00E31E90">
        <w:rPr>
          <w:rFonts w:ascii="Times New Roman" w:hAnsi="Times New Roman" w:cs="Times New Roman"/>
          <w:sz w:val="24"/>
          <w:szCs w:val="24"/>
        </w:rPr>
        <w:t>2</w:t>
      </w:r>
      <w:r w:rsidR="00D25C67" w:rsidRPr="00E31E90">
        <w:rPr>
          <w:rFonts w:ascii="Times New Roman" w:hAnsi="Times New Roman" w:cs="Times New Roman"/>
          <w:sz w:val="24"/>
          <w:szCs w:val="24"/>
        </w:rPr>
        <w:t>.139.100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896FC4" w:rsidRPr="00E31E90">
        <w:rPr>
          <w:rFonts w:ascii="Times New Roman" w:hAnsi="Times New Roman" w:cs="Times New Roman"/>
          <w:sz w:val="24"/>
          <w:szCs w:val="24"/>
        </w:rPr>
        <w:t xml:space="preserve">u najvećoj mjeri odnose se na očekivane zatezne kamate po sudskim sporovima te na </w:t>
      </w:r>
      <w:r w:rsidRPr="00E31E90">
        <w:rPr>
          <w:rFonts w:ascii="Times New Roman" w:hAnsi="Times New Roman" w:cs="Times New Roman"/>
          <w:sz w:val="24"/>
          <w:szCs w:val="24"/>
        </w:rPr>
        <w:t>bankarske usluge i usluge platnog prome</w:t>
      </w:r>
      <w:r w:rsidR="004C7F14" w:rsidRPr="00E31E90">
        <w:rPr>
          <w:rFonts w:ascii="Times New Roman" w:hAnsi="Times New Roman" w:cs="Times New Roman"/>
          <w:sz w:val="24"/>
          <w:szCs w:val="24"/>
        </w:rPr>
        <w:t>ta</w:t>
      </w:r>
      <w:r w:rsidR="00DC11DD" w:rsidRPr="00E31E90">
        <w:rPr>
          <w:rFonts w:ascii="Times New Roman" w:hAnsi="Times New Roman" w:cs="Times New Roman"/>
          <w:sz w:val="24"/>
          <w:szCs w:val="24"/>
        </w:rPr>
        <w:t>;</w:t>
      </w:r>
    </w:p>
    <w:p w14:paraId="23A4BF26" w14:textId="5A9BC83C" w:rsidR="00C238AE" w:rsidRPr="00E31E90" w:rsidRDefault="00C238AE" w:rsidP="00CA1CCC">
      <w:pPr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Ostali rashodi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25C67" w:rsidRPr="00E31E90">
        <w:rPr>
          <w:rFonts w:ascii="Times New Roman" w:hAnsi="Times New Roman" w:cs="Times New Roman"/>
          <w:sz w:val="24"/>
          <w:szCs w:val="24"/>
        </w:rPr>
        <w:t>2.700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>.</w:t>
      </w:r>
    </w:p>
    <w:p w14:paraId="0245CFC7" w14:textId="6874D3A2" w:rsidR="00C238AE" w:rsidRPr="00E31E90" w:rsidRDefault="00C238AE" w:rsidP="00437889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Planirani rashodi </w:t>
      </w:r>
      <w:r w:rsidR="00613D76" w:rsidRPr="00E31E90">
        <w:rPr>
          <w:rFonts w:ascii="Times New Roman" w:hAnsi="Times New Roman" w:cs="Times New Roman"/>
          <w:sz w:val="24"/>
          <w:szCs w:val="24"/>
        </w:rPr>
        <w:t>poslovanja za 202</w:t>
      </w:r>
      <w:r w:rsidR="00AA1F2C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godinu</w:t>
      </w:r>
      <w:r w:rsidR="006C6D05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4F5052" w:rsidRPr="00E31E90">
        <w:rPr>
          <w:rFonts w:ascii="Times New Roman" w:hAnsi="Times New Roman" w:cs="Times New Roman"/>
          <w:sz w:val="24"/>
          <w:szCs w:val="24"/>
        </w:rPr>
        <w:t xml:space="preserve">u odnosu na planirane rashode poslovanja za 2022. godinu </w:t>
      </w:r>
      <w:r w:rsidR="00D25C67" w:rsidRPr="00E31E90">
        <w:rPr>
          <w:rFonts w:ascii="Times New Roman" w:hAnsi="Times New Roman" w:cs="Times New Roman"/>
          <w:sz w:val="24"/>
          <w:szCs w:val="24"/>
        </w:rPr>
        <w:t>manji</w:t>
      </w:r>
      <w:r w:rsidR="006C6D05" w:rsidRPr="00E31E90">
        <w:rPr>
          <w:rFonts w:ascii="Times New Roman" w:hAnsi="Times New Roman" w:cs="Times New Roman"/>
          <w:sz w:val="24"/>
          <w:szCs w:val="24"/>
        </w:rPr>
        <w:t xml:space="preserve"> su za izno</w:t>
      </w:r>
      <w:r w:rsidR="00613D76" w:rsidRPr="00E31E90">
        <w:rPr>
          <w:rFonts w:ascii="Times New Roman" w:hAnsi="Times New Roman" w:cs="Times New Roman"/>
          <w:sz w:val="24"/>
          <w:szCs w:val="24"/>
        </w:rPr>
        <w:t>s od 2</w:t>
      </w:r>
      <w:r w:rsidR="00D25C67" w:rsidRPr="00E31E90">
        <w:rPr>
          <w:rFonts w:ascii="Times New Roman" w:hAnsi="Times New Roman" w:cs="Times New Roman"/>
          <w:sz w:val="24"/>
          <w:szCs w:val="24"/>
        </w:rPr>
        <w:t>.121.573,0</w:t>
      </w:r>
      <w:r w:rsidR="00AA1F2C" w:rsidRPr="00E31E90">
        <w:rPr>
          <w:rFonts w:ascii="Times New Roman" w:hAnsi="Times New Roman" w:cs="Times New Roman"/>
          <w:sz w:val="24"/>
          <w:szCs w:val="24"/>
        </w:rPr>
        <w:t>1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, tj. za </w:t>
      </w:r>
      <w:r w:rsidR="00D25C67" w:rsidRPr="00E31E90">
        <w:rPr>
          <w:rFonts w:ascii="Times New Roman" w:hAnsi="Times New Roman" w:cs="Times New Roman"/>
          <w:sz w:val="24"/>
          <w:szCs w:val="24"/>
        </w:rPr>
        <w:t>21,23</w:t>
      </w:r>
      <w:r w:rsidRPr="00E31E90">
        <w:rPr>
          <w:rFonts w:ascii="Times New Roman" w:hAnsi="Times New Roman" w:cs="Times New Roman"/>
          <w:sz w:val="24"/>
          <w:szCs w:val="24"/>
        </w:rPr>
        <w:t>% iz razloga što se</w:t>
      </w:r>
      <w:r w:rsidR="00AA1F2C" w:rsidRPr="00E31E90">
        <w:rPr>
          <w:rFonts w:ascii="Times New Roman" w:hAnsi="Times New Roman" w:cs="Times New Roman"/>
          <w:sz w:val="24"/>
          <w:szCs w:val="24"/>
        </w:rPr>
        <w:t xml:space="preserve"> u 2023. godini</w:t>
      </w:r>
      <w:r w:rsidR="000F1A73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>očekuj</w:t>
      </w:r>
      <w:r w:rsidR="009C3B00" w:rsidRPr="00E31E90">
        <w:rPr>
          <w:rFonts w:ascii="Times New Roman" w:hAnsi="Times New Roman" w:cs="Times New Roman"/>
          <w:sz w:val="24"/>
          <w:szCs w:val="24"/>
        </w:rPr>
        <w:t>u manji rashodi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9C3B00" w:rsidRPr="00E31E90">
        <w:rPr>
          <w:rFonts w:ascii="Times New Roman" w:hAnsi="Times New Roman" w:cs="Times New Roman"/>
          <w:sz w:val="24"/>
          <w:szCs w:val="24"/>
        </w:rPr>
        <w:t>po osnovi dugotrajnih sudskih postupaka te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>za</w:t>
      </w:r>
      <w:r w:rsidR="00613D76" w:rsidRPr="00E31E90">
        <w:rPr>
          <w:rFonts w:ascii="Times New Roman" w:hAnsi="Times New Roman" w:cs="Times New Roman"/>
          <w:sz w:val="24"/>
          <w:szCs w:val="24"/>
        </w:rPr>
        <w:t>teznih kamata</w:t>
      </w:r>
      <w:r w:rsidR="009C3B00" w:rsidRPr="00E31E90">
        <w:rPr>
          <w:rFonts w:ascii="Times New Roman" w:hAnsi="Times New Roman" w:cs="Times New Roman"/>
          <w:sz w:val="24"/>
          <w:szCs w:val="24"/>
        </w:rPr>
        <w:t xml:space="preserve"> po istima</w:t>
      </w:r>
      <w:r w:rsidR="004C7F14" w:rsidRPr="00E31E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40B6E5" w14:textId="77777777" w:rsidR="00437889" w:rsidRPr="00E31E90" w:rsidRDefault="00437889" w:rsidP="004378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5527A" w14:textId="2C603605" w:rsidR="00C238AE" w:rsidRDefault="00C238AE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</w:p>
    <w:p w14:paraId="020516FE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C957E" w14:textId="282161C2" w:rsidR="0079167F" w:rsidRPr="00E31E90" w:rsidRDefault="00C238AE" w:rsidP="00C238A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rashodi za naba</w:t>
      </w:r>
      <w:r w:rsidR="007A63FE" w:rsidRPr="00E31E90">
        <w:rPr>
          <w:rFonts w:ascii="Times New Roman" w:hAnsi="Times New Roman" w:cs="Times New Roman"/>
          <w:sz w:val="24"/>
          <w:szCs w:val="24"/>
        </w:rPr>
        <w:t>vu nefina</w:t>
      </w:r>
      <w:r w:rsidR="00613D76" w:rsidRPr="00E31E90">
        <w:rPr>
          <w:rFonts w:ascii="Times New Roman" w:hAnsi="Times New Roman" w:cs="Times New Roman"/>
          <w:sz w:val="24"/>
          <w:szCs w:val="24"/>
        </w:rPr>
        <w:t>ncijske imovine za 202</w:t>
      </w:r>
      <w:r w:rsidR="00CF0CAE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613D76" w:rsidRPr="00E31E90">
        <w:rPr>
          <w:rFonts w:ascii="Times New Roman" w:hAnsi="Times New Roman" w:cs="Times New Roman"/>
          <w:sz w:val="24"/>
          <w:szCs w:val="24"/>
        </w:rPr>
        <w:t>2</w:t>
      </w:r>
      <w:r w:rsidR="00CF0CAE" w:rsidRPr="00E31E90">
        <w:rPr>
          <w:rFonts w:ascii="Times New Roman" w:hAnsi="Times New Roman" w:cs="Times New Roman"/>
          <w:sz w:val="24"/>
          <w:szCs w:val="24"/>
        </w:rPr>
        <w:t>16.400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79167F" w:rsidRPr="00E31E90">
        <w:rPr>
          <w:rFonts w:ascii="Times New Roman" w:hAnsi="Times New Roman" w:cs="Times New Roman"/>
          <w:sz w:val="24"/>
          <w:szCs w:val="24"/>
        </w:rPr>
        <w:t xml:space="preserve"> i odnose se na sljedeće planirane rashode za nabavu nefinancijske imovine:</w:t>
      </w:r>
    </w:p>
    <w:p w14:paraId="59ABBC41" w14:textId="267E7535" w:rsidR="0079167F" w:rsidRPr="00E31E90" w:rsidRDefault="0079167F" w:rsidP="0079167F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13.300,00 eura, odnose se na </w:t>
      </w:r>
      <w:r w:rsidR="00E71E95" w:rsidRPr="00E31E90">
        <w:rPr>
          <w:rFonts w:ascii="Times New Roman" w:hAnsi="Times New Roman" w:cs="Times New Roman"/>
          <w:sz w:val="24"/>
          <w:szCs w:val="24"/>
        </w:rPr>
        <w:t>nabavu licenci za računalne programe</w:t>
      </w:r>
      <w:r w:rsidRPr="00E31E9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29D04A" w14:textId="67DDD915" w:rsidR="00C238AE" w:rsidRPr="00E31E90" w:rsidRDefault="00E71E95" w:rsidP="00FE05D4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 xml:space="preserve">Rashodi za nabavu proizvedene </w:t>
      </w:r>
      <w:r w:rsidR="0079167F" w:rsidRPr="00E31E90">
        <w:rPr>
          <w:rFonts w:ascii="Times New Roman" w:hAnsi="Times New Roman" w:cs="Times New Roman"/>
          <w:b/>
          <w:sz w:val="24"/>
          <w:szCs w:val="24"/>
        </w:rPr>
        <w:t>dugotrajne imovine</w:t>
      </w:r>
      <w:r w:rsidR="0079167F"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Pr="00E31E90">
        <w:rPr>
          <w:rFonts w:ascii="Times New Roman" w:hAnsi="Times New Roman" w:cs="Times New Roman"/>
          <w:sz w:val="24"/>
          <w:szCs w:val="24"/>
        </w:rPr>
        <w:t>203</w:t>
      </w:r>
      <w:r w:rsidR="0079167F" w:rsidRPr="00E31E90">
        <w:rPr>
          <w:rFonts w:ascii="Times New Roman" w:hAnsi="Times New Roman" w:cs="Times New Roman"/>
          <w:sz w:val="24"/>
          <w:szCs w:val="24"/>
        </w:rPr>
        <w:t>.</w:t>
      </w:r>
      <w:r w:rsidRPr="00E31E90">
        <w:rPr>
          <w:rFonts w:ascii="Times New Roman" w:hAnsi="Times New Roman" w:cs="Times New Roman"/>
          <w:sz w:val="24"/>
          <w:szCs w:val="24"/>
        </w:rPr>
        <w:t>1</w:t>
      </w:r>
      <w:r w:rsidR="0079167F" w:rsidRPr="00E31E90">
        <w:rPr>
          <w:rFonts w:ascii="Times New Roman" w:hAnsi="Times New Roman" w:cs="Times New Roman"/>
          <w:sz w:val="24"/>
          <w:szCs w:val="24"/>
        </w:rPr>
        <w:t xml:space="preserve">00,00 eura, odnose se na </w:t>
      </w:r>
      <w:r w:rsidRPr="00E31E90">
        <w:rPr>
          <w:rFonts w:ascii="Times New Roman" w:hAnsi="Times New Roman" w:cs="Times New Roman"/>
          <w:sz w:val="24"/>
          <w:szCs w:val="24"/>
        </w:rPr>
        <w:t>postrojenja i opremu u iznosu od 176.500,00 eura (</w:t>
      </w:r>
      <w:r w:rsidR="006C6D05" w:rsidRPr="00E31E90">
        <w:rPr>
          <w:rFonts w:ascii="Times New Roman" w:hAnsi="Times New Roman" w:cs="Times New Roman"/>
          <w:sz w:val="24"/>
          <w:szCs w:val="24"/>
        </w:rPr>
        <w:t>računala i uredsk</w:t>
      </w:r>
      <w:r w:rsidRPr="00E31E90">
        <w:rPr>
          <w:rFonts w:ascii="Times New Roman" w:hAnsi="Times New Roman" w:cs="Times New Roman"/>
          <w:sz w:val="24"/>
          <w:szCs w:val="24"/>
        </w:rPr>
        <w:t>a</w:t>
      </w:r>
      <w:r w:rsidR="006C6D05" w:rsidRPr="00E31E90">
        <w:rPr>
          <w:rFonts w:ascii="Times New Roman" w:hAnsi="Times New Roman" w:cs="Times New Roman"/>
          <w:sz w:val="24"/>
          <w:szCs w:val="24"/>
        </w:rPr>
        <w:t xml:space="preserve"> opreme, </w:t>
      </w:r>
      <w:r w:rsidR="006C6D05" w:rsidRPr="00E31E90">
        <w:rPr>
          <w:rFonts w:ascii="Times New Roman" w:hAnsi="Times New Roman" w:cs="Times New Roman"/>
          <w:sz w:val="24"/>
          <w:szCs w:val="24"/>
        </w:rPr>
        <w:lastRenderedPageBreak/>
        <w:t>komunikacijsk</w:t>
      </w:r>
      <w:r w:rsidRPr="00E31E90">
        <w:rPr>
          <w:rFonts w:ascii="Times New Roman" w:hAnsi="Times New Roman" w:cs="Times New Roman"/>
          <w:sz w:val="24"/>
          <w:szCs w:val="24"/>
        </w:rPr>
        <w:t>a</w:t>
      </w:r>
      <w:r w:rsidR="006C6D05" w:rsidRPr="00E31E90">
        <w:rPr>
          <w:rFonts w:ascii="Times New Roman" w:hAnsi="Times New Roman" w:cs="Times New Roman"/>
          <w:sz w:val="24"/>
          <w:szCs w:val="24"/>
        </w:rPr>
        <w:t xml:space="preserve"> oprem</w:t>
      </w:r>
      <w:r w:rsidRPr="00E31E90">
        <w:rPr>
          <w:rFonts w:ascii="Times New Roman" w:hAnsi="Times New Roman" w:cs="Times New Roman"/>
          <w:sz w:val="24"/>
          <w:szCs w:val="24"/>
        </w:rPr>
        <w:t>a</w:t>
      </w:r>
      <w:r w:rsidR="00C238AE" w:rsidRPr="00E31E90">
        <w:rPr>
          <w:rFonts w:ascii="Times New Roman" w:hAnsi="Times New Roman" w:cs="Times New Roman"/>
          <w:sz w:val="24"/>
          <w:szCs w:val="24"/>
        </w:rPr>
        <w:t>, opr</w:t>
      </w:r>
      <w:r w:rsidR="006C6D05" w:rsidRPr="00E31E90">
        <w:rPr>
          <w:rFonts w:ascii="Times New Roman" w:hAnsi="Times New Roman" w:cs="Times New Roman"/>
          <w:sz w:val="24"/>
          <w:szCs w:val="24"/>
        </w:rPr>
        <w:t>em</w:t>
      </w:r>
      <w:r w:rsidRPr="00E31E90">
        <w:rPr>
          <w:rFonts w:ascii="Times New Roman" w:hAnsi="Times New Roman" w:cs="Times New Roman"/>
          <w:sz w:val="24"/>
          <w:szCs w:val="24"/>
        </w:rPr>
        <w:t>a</w:t>
      </w:r>
      <w:r w:rsidR="0055219A" w:rsidRPr="00E31E90">
        <w:rPr>
          <w:rFonts w:ascii="Times New Roman" w:hAnsi="Times New Roman" w:cs="Times New Roman"/>
          <w:sz w:val="24"/>
          <w:szCs w:val="24"/>
        </w:rPr>
        <w:t xml:space="preserve"> za održavanje i zaštit</w:t>
      </w:r>
      <w:r w:rsidR="00613D76" w:rsidRPr="00E31E90">
        <w:rPr>
          <w:rFonts w:ascii="Times New Roman" w:hAnsi="Times New Roman" w:cs="Times New Roman"/>
          <w:sz w:val="24"/>
          <w:szCs w:val="24"/>
        </w:rPr>
        <w:t>u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634979" w:rsidRPr="00E31E90">
        <w:rPr>
          <w:rFonts w:ascii="Times New Roman" w:hAnsi="Times New Roman" w:cs="Times New Roman"/>
          <w:sz w:val="24"/>
          <w:szCs w:val="24"/>
        </w:rPr>
        <w:t>te</w:t>
      </w:r>
      <w:r w:rsidRPr="00E31E90">
        <w:rPr>
          <w:rFonts w:ascii="Times New Roman" w:hAnsi="Times New Roman" w:cs="Times New Roman"/>
          <w:sz w:val="24"/>
          <w:szCs w:val="24"/>
        </w:rPr>
        <w:t xml:space="preserve"> na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 nabav</w:t>
      </w:r>
      <w:r w:rsidRPr="00E31E90">
        <w:rPr>
          <w:rFonts w:ascii="Times New Roman" w:hAnsi="Times New Roman" w:cs="Times New Roman"/>
          <w:sz w:val="24"/>
          <w:szCs w:val="24"/>
        </w:rPr>
        <w:t>u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 uređaja, strojev</w:t>
      </w:r>
      <w:r w:rsidR="00613D76" w:rsidRPr="00E31E90">
        <w:rPr>
          <w:rFonts w:ascii="Times New Roman" w:hAnsi="Times New Roman" w:cs="Times New Roman"/>
          <w:sz w:val="24"/>
          <w:szCs w:val="24"/>
        </w:rPr>
        <w:t>a i opreme za ostale namjene</w:t>
      </w:r>
      <w:r w:rsidR="00634979" w:rsidRPr="00E31E90">
        <w:rPr>
          <w:rFonts w:ascii="Times New Roman" w:hAnsi="Times New Roman" w:cs="Times New Roman"/>
          <w:sz w:val="24"/>
          <w:szCs w:val="24"/>
        </w:rPr>
        <w:t>, i na nematerijalnu proizvedenu imovinu u iznosu od 26.600,00 eura (</w:t>
      </w:r>
      <w:r w:rsidR="00613D76" w:rsidRPr="00E31E90">
        <w:rPr>
          <w:rFonts w:ascii="Times New Roman" w:hAnsi="Times New Roman" w:cs="Times New Roman"/>
          <w:sz w:val="24"/>
          <w:szCs w:val="24"/>
        </w:rPr>
        <w:t>ulaganja u računalne programe</w:t>
      </w:r>
      <w:r w:rsidR="00C238AE" w:rsidRPr="00E31E90">
        <w:rPr>
          <w:rFonts w:ascii="Times New Roman" w:hAnsi="Times New Roman" w:cs="Times New Roman"/>
          <w:sz w:val="24"/>
          <w:szCs w:val="24"/>
        </w:rPr>
        <w:t>).</w:t>
      </w:r>
    </w:p>
    <w:p w14:paraId="162862AE" w14:textId="35687DE2" w:rsidR="00347CC9" w:rsidRPr="00E31E90" w:rsidRDefault="00347CC9" w:rsidP="00CA66B4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Planirani rashodi za nabavu nefinancijske imovine za </w:t>
      </w:r>
      <w:r w:rsidR="00613D76" w:rsidRPr="00E31E90">
        <w:rPr>
          <w:rFonts w:ascii="Times New Roman" w:hAnsi="Times New Roman" w:cs="Times New Roman"/>
          <w:sz w:val="24"/>
          <w:szCs w:val="24"/>
        </w:rPr>
        <w:t>202</w:t>
      </w:r>
      <w:r w:rsidR="009F6AA0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godinu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4F5052" w:rsidRPr="00E31E90">
        <w:rPr>
          <w:rFonts w:ascii="Times New Roman" w:hAnsi="Times New Roman" w:cs="Times New Roman"/>
          <w:sz w:val="24"/>
          <w:szCs w:val="24"/>
        </w:rPr>
        <w:t xml:space="preserve">u odnosu na planirane rashode za nabavu nefinancijske imovine za 2022. godinu </w:t>
      </w:r>
      <w:r w:rsidR="009F6AA0" w:rsidRPr="00E31E90">
        <w:rPr>
          <w:rFonts w:ascii="Times New Roman" w:hAnsi="Times New Roman" w:cs="Times New Roman"/>
          <w:sz w:val="24"/>
          <w:szCs w:val="24"/>
        </w:rPr>
        <w:t>manji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su za iznos od </w:t>
      </w:r>
      <w:r w:rsidR="009F6AA0" w:rsidRPr="00E31E90">
        <w:rPr>
          <w:rFonts w:ascii="Times New Roman" w:hAnsi="Times New Roman" w:cs="Times New Roman"/>
          <w:sz w:val="24"/>
          <w:szCs w:val="24"/>
        </w:rPr>
        <w:t>189.731,79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, tj. za </w:t>
      </w:r>
      <w:r w:rsidR="009F6AA0" w:rsidRPr="00E31E90">
        <w:rPr>
          <w:rFonts w:ascii="Times New Roman" w:hAnsi="Times New Roman" w:cs="Times New Roman"/>
          <w:sz w:val="24"/>
          <w:szCs w:val="24"/>
        </w:rPr>
        <w:t>46,72%</w:t>
      </w:r>
      <w:r w:rsidRPr="00E31E90">
        <w:rPr>
          <w:rFonts w:ascii="Times New Roman" w:hAnsi="Times New Roman" w:cs="Times New Roman"/>
          <w:sz w:val="24"/>
          <w:szCs w:val="24"/>
        </w:rPr>
        <w:t xml:space="preserve"> iz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razloga što</w:t>
      </w:r>
      <w:r w:rsidR="00F86F13" w:rsidRPr="00E31E90">
        <w:rPr>
          <w:rFonts w:ascii="Times New Roman" w:hAnsi="Times New Roman" w:cs="Times New Roman"/>
          <w:sz w:val="24"/>
          <w:szCs w:val="24"/>
        </w:rPr>
        <w:t xml:space="preserve"> se</w:t>
      </w:r>
      <w:r w:rsidR="00613D76" w:rsidRPr="00E31E90">
        <w:rPr>
          <w:rFonts w:ascii="Times New Roman" w:hAnsi="Times New Roman" w:cs="Times New Roman"/>
          <w:sz w:val="24"/>
          <w:szCs w:val="24"/>
        </w:rPr>
        <w:t xml:space="preserve"> u 202</w:t>
      </w:r>
      <w:r w:rsidR="009F6AA0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godini planira</w:t>
      </w:r>
      <w:r w:rsidR="00F86F13" w:rsidRPr="00E31E90">
        <w:rPr>
          <w:rFonts w:ascii="Times New Roman" w:hAnsi="Times New Roman" w:cs="Times New Roman"/>
          <w:sz w:val="24"/>
          <w:szCs w:val="24"/>
        </w:rPr>
        <w:t>ju manji rashodi za opremu i ulaganja u računalne programe.</w:t>
      </w:r>
      <w:r w:rsidRPr="00E31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E5EBE" w14:textId="77777777" w:rsidR="0021313F" w:rsidRPr="00E31E90" w:rsidRDefault="0021313F" w:rsidP="00CA66B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6554FA" w14:textId="7FA6F64B" w:rsidR="008512A6" w:rsidRPr="00E31E90" w:rsidRDefault="008512A6" w:rsidP="008512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E90">
        <w:rPr>
          <w:rFonts w:ascii="Times New Roman" w:hAnsi="Times New Roman" w:cs="Times New Roman"/>
          <w:b/>
          <w:sz w:val="24"/>
          <w:szCs w:val="24"/>
          <w:u w:val="single"/>
        </w:rPr>
        <w:t>RAČUN FINANCIRANJA</w:t>
      </w:r>
    </w:p>
    <w:p w14:paraId="0379A5E8" w14:textId="77777777" w:rsidR="008512A6" w:rsidRPr="00E31E90" w:rsidRDefault="008512A6" w:rsidP="008512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C3D1A" w14:textId="3B02E28F" w:rsidR="001173A3" w:rsidRPr="00E31E90" w:rsidRDefault="00F81D36" w:rsidP="00E31E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je za razdoblje 202</w:t>
      </w:r>
      <w:r w:rsidR="009F6AA0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- 202</w:t>
      </w:r>
      <w:r w:rsidR="009F6AA0" w:rsidRPr="00E31E90">
        <w:rPr>
          <w:rFonts w:ascii="Times New Roman" w:hAnsi="Times New Roman" w:cs="Times New Roman"/>
          <w:sz w:val="24"/>
          <w:szCs w:val="24"/>
        </w:rPr>
        <w:t>5</w:t>
      </w:r>
      <w:r w:rsidR="008512A6" w:rsidRPr="00E31E90">
        <w:rPr>
          <w:rFonts w:ascii="Times New Roman" w:hAnsi="Times New Roman" w:cs="Times New Roman"/>
          <w:sz w:val="24"/>
          <w:szCs w:val="24"/>
        </w:rPr>
        <w:t xml:space="preserve">. godine planirao </w:t>
      </w:r>
      <w:r w:rsidR="00B9638A" w:rsidRPr="00E31E90">
        <w:rPr>
          <w:rFonts w:ascii="Times New Roman" w:hAnsi="Times New Roman" w:cs="Times New Roman"/>
          <w:sz w:val="24"/>
          <w:szCs w:val="24"/>
        </w:rPr>
        <w:t xml:space="preserve">primitke od financijske imovine i zaduživanja </w:t>
      </w:r>
      <w:r w:rsidR="008512A6" w:rsidRPr="00E31E90">
        <w:rPr>
          <w:rFonts w:ascii="Times New Roman" w:hAnsi="Times New Roman" w:cs="Times New Roman"/>
          <w:sz w:val="24"/>
          <w:szCs w:val="24"/>
        </w:rPr>
        <w:t>u slijedećim iznosima: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1266"/>
        <w:gridCol w:w="1402"/>
        <w:gridCol w:w="1221"/>
        <w:gridCol w:w="1535"/>
        <w:gridCol w:w="1495"/>
      </w:tblGrid>
      <w:tr w:rsidR="001173A3" w:rsidRPr="00E31E90" w14:paraId="34D4FB83" w14:textId="77777777" w:rsidTr="00634979">
        <w:trPr>
          <w:trHeight w:val="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2ECB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NAZIV PRIMITAKA I IZDATAKA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EC73" w14:textId="6B33D034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PLAN ZA 2022.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D54A" w14:textId="201346AD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PRIJEDLOG PLANA ZA 2023.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995" w14:textId="3538DFDE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INDEKS 2023/2022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45BB" w14:textId="6EFB6CD3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0C93" w14:textId="51F9629D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2025.</w:t>
            </w:r>
          </w:p>
        </w:tc>
      </w:tr>
      <w:tr w:rsidR="001173A3" w:rsidRPr="00E31E90" w14:paraId="03BC9555" w14:textId="77777777" w:rsidTr="00634979">
        <w:trPr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AE79" w14:textId="77777777" w:rsidR="001173A3" w:rsidRPr="00E31E90" w:rsidRDefault="001173A3" w:rsidP="00117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48A6" w14:textId="00F44629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6.038.887,79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956" w14:textId="0C604CF3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862.700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96D" w14:textId="61F10DDB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14,29%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6AB4" w14:textId="6FC9F794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199.200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226E" w14:textId="40024CA6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199.200</w:t>
            </w:r>
          </w:p>
        </w:tc>
      </w:tr>
      <w:tr w:rsidR="001173A3" w:rsidRPr="00E31E90" w14:paraId="2A8FBFD3" w14:textId="77777777" w:rsidTr="00634979">
        <w:trPr>
          <w:trHeight w:val="5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9446" w14:textId="60C1FF51" w:rsidR="001173A3" w:rsidRPr="00E31E90" w:rsidRDefault="001173A3" w:rsidP="00117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IZDACI ZA FINANCIJSKU IMOVINU I</w:t>
            </w:r>
            <w:r w:rsidR="0020391F"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</w:t>
            </w: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TPLATE ZAJMOVA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3CB1" w14:textId="5A074250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E23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2B5D" w14:textId="77AD6BF6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228" w14:textId="54DB1A5C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D046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3A3" w:rsidRPr="00E31E90" w14:paraId="453DABAF" w14:textId="77777777" w:rsidTr="00634979">
        <w:trPr>
          <w:trHeight w:val="5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C636" w14:textId="77777777" w:rsidR="001173A3" w:rsidRPr="00E31E90" w:rsidRDefault="001173A3" w:rsidP="00117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RAZLIKA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72D" w14:textId="5721FF33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6.038.887,79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6FDC" w14:textId="6BAFAB68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862.700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BB4D" w14:textId="5313C1AA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14,29%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FB7A" w14:textId="337F76DD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199.200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45C5" w14:textId="44A35122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199.200</w:t>
            </w:r>
          </w:p>
        </w:tc>
      </w:tr>
    </w:tbl>
    <w:p w14:paraId="69F03AA7" w14:textId="77777777" w:rsidR="008512A6" w:rsidRPr="003517B2" w:rsidRDefault="008512A6" w:rsidP="008512A6">
      <w:pPr>
        <w:jc w:val="both"/>
        <w:rPr>
          <w:b/>
        </w:rPr>
      </w:pPr>
    </w:p>
    <w:p w14:paraId="40070FF4" w14:textId="27447DE7" w:rsidR="008512A6" w:rsidRPr="00E31E90" w:rsidRDefault="008512A6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PRIMICI OD FINANCIJSKE IMOVINE I ZADUŽIVANJA</w:t>
      </w:r>
    </w:p>
    <w:p w14:paraId="099ECEDA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BE412" w14:textId="701A0DDA" w:rsidR="008512A6" w:rsidRPr="00E31E90" w:rsidRDefault="008512A6" w:rsidP="008512A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primici od financijs</w:t>
      </w:r>
      <w:r w:rsidR="007A63FE" w:rsidRPr="00E31E90">
        <w:rPr>
          <w:rFonts w:ascii="Times New Roman" w:hAnsi="Times New Roman" w:cs="Times New Roman"/>
          <w:sz w:val="24"/>
          <w:szCs w:val="24"/>
        </w:rPr>
        <w:t xml:space="preserve">ke </w:t>
      </w:r>
      <w:r w:rsidR="00F81D36" w:rsidRPr="00E31E90">
        <w:rPr>
          <w:rFonts w:ascii="Times New Roman" w:hAnsi="Times New Roman" w:cs="Times New Roman"/>
          <w:sz w:val="24"/>
          <w:szCs w:val="24"/>
        </w:rPr>
        <w:t>imovine i zaduživanja za 202</w:t>
      </w:r>
      <w:r w:rsidR="00FA3705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FA3705" w:rsidRPr="00E31E90">
        <w:rPr>
          <w:rFonts w:ascii="Times New Roman" w:hAnsi="Times New Roman" w:cs="Times New Roman"/>
          <w:sz w:val="24"/>
          <w:szCs w:val="24"/>
        </w:rPr>
        <w:t>862.700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i odnose na slijedeće planirane primitke:</w:t>
      </w:r>
    </w:p>
    <w:p w14:paraId="7F697DF9" w14:textId="3A8D5F69" w:rsidR="008512A6" w:rsidRPr="00E31E90" w:rsidRDefault="008512A6" w:rsidP="00CA1CCC">
      <w:pPr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</w:t>
      </w:r>
      <w:r w:rsidR="0074773C" w:rsidRPr="00E31E90">
        <w:rPr>
          <w:rFonts w:ascii="Times New Roman" w:hAnsi="Times New Roman" w:cs="Times New Roman"/>
          <w:b/>
          <w:sz w:val="24"/>
          <w:szCs w:val="24"/>
        </w:rPr>
        <w:t>rimljeni povrati</w:t>
      </w:r>
      <w:r w:rsidRPr="00E31E90">
        <w:rPr>
          <w:rFonts w:ascii="Times New Roman" w:hAnsi="Times New Roman" w:cs="Times New Roman"/>
          <w:b/>
          <w:sz w:val="24"/>
          <w:szCs w:val="24"/>
        </w:rPr>
        <w:t xml:space="preserve"> glavnic</w:t>
      </w:r>
      <w:r w:rsidR="0074773C" w:rsidRPr="00E31E90">
        <w:rPr>
          <w:rFonts w:ascii="Times New Roman" w:hAnsi="Times New Roman" w:cs="Times New Roman"/>
          <w:b/>
          <w:sz w:val="24"/>
          <w:szCs w:val="24"/>
        </w:rPr>
        <w:t>a danih</w:t>
      </w:r>
      <w:r w:rsidRPr="00E31E90">
        <w:rPr>
          <w:rFonts w:ascii="Times New Roman" w:hAnsi="Times New Roman" w:cs="Times New Roman"/>
          <w:b/>
          <w:sz w:val="24"/>
          <w:szCs w:val="24"/>
        </w:rPr>
        <w:t xml:space="preserve"> zajmova </w:t>
      </w:r>
      <w:r w:rsidR="0074773C" w:rsidRPr="00E31E90">
        <w:rPr>
          <w:rFonts w:ascii="Times New Roman" w:hAnsi="Times New Roman" w:cs="Times New Roman"/>
          <w:b/>
          <w:sz w:val="24"/>
          <w:szCs w:val="24"/>
        </w:rPr>
        <w:t>i depozita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B9638A" w:rsidRPr="00E31E90">
        <w:rPr>
          <w:rFonts w:ascii="Times New Roman" w:hAnsi="Times New Roman" w:cs="Times New Roman"/>
          <w:sz w:val="24"/>
          <w:szCs w:val="24"/>
        </w:rPr>
        <w:t>3</w:t>
      </w:r>
      <w:r w:rsidR="00FA3705" w:rsidRPr="00E31E90">
        <w:rPr>
          <w:rFonts w:ascii="Times New Roman" w:hAnsi="Times New Roman" w:cs="Times New Roman"/>
          <w:sz w:val="24"/>
          <w:szCs w:val="24"/>
        </w:rPr>
        <w:t>98.200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>, odnose se na planirane primitke po ranije danim zajmovima te sklopljenim predstečajnim nagodbama i stečajnim postupcima;</w:t>
      </w:r>
    </w:p>
    <w:p w14:paraId="0D12A7D4" w14:textId="110B66E7" w:rsidR="008512A6" w:rsidRPr="00E31E90" w:rsidRDefault="008512A6" w:rsidP="00CA1CCC">
      <w:pPr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Primici od prodaje dionica i udjela u glavnici</w:t>
      </w:r>
      <w:r w:rsidRPr="00E31E90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A242D4" w:rsidRPr="00E31E90">
        <w:rPr>
          <w:rFonts w:ascii="Times New Roman" w:hAnsi="Times New Roman" w:cs="Times New Roman"/>
          <w:sz w:val="24"/>
          <w:szCs w:val="24"/>
        </w:rPr>
        <w:t>464.500</w:t>
      </w:r>
      <w:r w:rsidRPr="00E31E90">
        <w:rPr>
          <w:rFonts w:ascii="Times New Roman" w:hAnsi="Times New Roman" w:cs="Times New Roman"/>
          <w:sz w:val="24"/>
          <w:szCs w:val="24"/>
        </w:rPr>
        <w:t xml:space="preserve">,00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>, odnose se na primitke od prodaje dionica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 xml:space="preserve">udjela u glavnici po ugovorima sklopljenim s </w:t>
      </w:r>
      <w:r w:rsidR="00E31E90" w:rsidRPr="00E31E90">
        <w:rPr>
          <w:rFonts w:ascii="Times New Roman" w:hAnsi="Times New Roman" w:cs="Times New Roman"/>
          <w:sz w:val="24"/>
          <w:szCs w:val="24"/>
        </w:rPr>
        <w:t>„</w:t>
      </w:r>
      <w:r w:rsidRPr="00E31E90">
        <w:rPr>
          <w:rFonts w:ascii="Times New Roman" w:hAnsi="Times New Roman" w:cs="Times New Roman"/>
          <w:sz w:val="24"/>
          <w:szCs w:val="24"/>
        </w:rPr>
        <w:t>malim dioničarima</w:t>
      </w:r>
      <w:r w:rsidR="00E31E90" w:rsidRPr="00E31E90">
        <w:rPr>
          <w:rFonts w:ascii="Times New Roman" w:hAnsi="Times New Roman" w:cs="Times New Roman"/>
          <w:sz w:val="24"/>
          <w:szCs w:val="24"/>
        </w:rPr>
        <w:t>“</w:t>
      </w:r>
      <w:r w:rsidRPr="00E31E90">
        <w:rPr>
          <w:rFonts w:ascii="Times New Roman" w:hAnsi="Times New Roman" w:cs="Times New Roman"/>
          <w:sz w:val="24"/>
          <w:szCs w:val="24"/>
        </w:rPr>
        <w:t>, te na primitke od prodaje dionica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 xml:space="preserve">udjela društava u vlasništvu Centra. </w:t>
      </w:r>
    </w:p>
    <w:p w14:paraId="1FBD38EC" w14:textId="6B3C8D33" w:rsidR="008512A6" w:rsidRPr="00E31E90" w:rsidRDefault="008512A6" w:rsidP="00B9638A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Planirani primici od financijs</w:t>
      </w:r>
      <w:r w:rsidR="007A63FE" w:rsidRPr="00E31E90">
        <w:rPr>
          <w:rFonts w:ascii="Times New Roman" w:hAnsi="Times New Roman" w:cs="Times New Roman"/>
          <w:sz w:val="24"/>
          <w:szCs w:val="24"/>
        </w:rPr>
        <w:t>ke imovine i zaduživanja za 202</w:t>
      </w:r>
      <w:r w:rsidR="00A242D4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godinu</w:t>
      </w:r>
      <w:r w:rsidR="00BC3463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1173A3" w:rsidRPr="00E31E90">
        <w:rPr>
          <w:rFonts w:ascii="Times New Roman" w:hAnsi="Times New Roman" w:cs="Times New Roman"/>
          <w:sz w:val="24"/>
          <w:szCs w:val="24"/>
        </w:rPr>
        <w:t xml:space="preserve">u odnosu na planirane primitke od financijske imovine i zaduživanja za 2022. godinu </w:t>
      </w:r>
      <w:r w:rsidR="00BC3463" w:rsidRPr="00E31E90">
        <w:rPr>
          <w:rFonts w:ascii="Times New Roman" w:hAnsi="Times New Roman" w:cs="Times New Roman"/>
          <w:sz w:val="24"/>
          <w:szCs w:val="24"/>
        </w:rPr>
        <w:t>manji</w:t>
      </w:r>
      <w:r w:rsidRPr="00E31E90">
        <w:rPr>
          <w:rFonts w:ascii="Times New Roman" w:hAnsi="Times New Roman" w:cs="Times New Roman"/>
          <w:sz w:val="24"/>
          <w:szCs w:val="24"/>
        </w:rPr>
        <w:t xml:space="preserve"> su za iznos od </w:t>
      </w:r>
      <w:r w:rsidR="00A242D4" w:rsidRPr="00E31E90">
        <w:rPr>
          <w:rFonts w:ascii="Times New Roman" w:hAnsi="Times New Roman" w:cs="Times New Roman"/>
          <w:sz w:val="24"/>
          <w:szCs w:val="24"/>
        </w:rPr>
        <w:t xml:space="preserve">5.176.187,79 </w:t>
      </w:r>
      <w:r w:rsidR="00CC50C6" w:rsidRPr="00E31E90">
        <w:rPr>
          <w:rFonts w:ascii="Times New Roman" w:hAnsi="Times New Roman" w:cs="Times New Roman"/>
          <w:sz w:val="24"/>
          <w:szCs w:val="24"/>
        </w:rPr>
        <w:t>eura</w:t>
      </w:r>
      <w:r w:rsidRPr="00E31E90">
        <w:rPr>
          <w:rFonts w:ascii="Times New Roman" w:hAnsi="Times New Roman" w:cs="Times New Roman"/>
          <w:sz w:val="24"/>
          <w:szCs w:val="24"/>
        </w:rPr>
        <w:t xml:space="preserve">, tj. </w:t>
      </w:r>
      <w:r w:rsidR="00E31E90" w:rsidRPr="00E31E90">
        <w:rPr>
          <w:rFonts w:ascii="Times New Roman" w:hAnsi="Times New Roman" w:cs="Times New Roman"/>
          <w:sz w:val="24"/>
          <w:szCs w:val="24"/>
        </w:rPr>
        <w:t>Z</w:t>
      </w:r>
      <w:r w:rsidRPr="00E31E90">
        <w:rPr>
          <w:rFonts w:ascii="Times New Roman" w:hAnsi="Times New Roman" w:cs="Times New Roman"/>
          <w:sz w:val="24"/>
          <w:szCs w:val="24"/>
        </w:rPr>
        <w:t xml:space="preserve">a </w:t>
      </w:r>
      <w:r w:rsidR="00A242D4" w:rsidRPr="00E31E90">
        <w:rPr>
          <w:rFonts w:ascii="Times New Roman" w:hAnsi="Times New Roman" w:cs="Times New Roman"/>
          <w:sz w:val="24"/>
          <w:szCs w:val="24"/>
        </w:rPr>
        <w:t>85,71</w:t>
      </w:r>
      <w:r w:rsidRPr="00E31E90">
        <w:rPr>
          <w:rFonts w:ascii="Times New Roman" w:hAnsi="Times New Roman" w:cs="Times New Roman"/>
          <w:sz w:val="24"/>
          <w:szCs w:val="24"/>
        </w:rPr>
        <w:t xml:space="preserve">% </w:t>
      </w:r>
      <w:r w:rsidR="001C7B1C" w:rsidRPr="00E31E90">
        <w:rPr>
          <w:rFonts w:ascii="Times New Roman" w:hAnsi="Times New Roman" w:cs="Times New Roman"/>
          <w:sz w:val="24"/>
          <w:szCs w:val="24"/>
        </w:rPr>
        <w:t xml:space="preserve">iz razloga što se </w:t>
      </w:r>
      <w:r w:rsidR="00FD7727" w:rsidRPr="00E31E90">
        <w:rPr>
          <w:rFonts w:ascii="Times New Roman" w:hAnsi="Times New Roman" w:cs="Times New Roman"/>
          <w:sz w:val="24"/>
          <w:szCs w:val="24"/>
        </w:rPr>
        <w:t xml:space="preserve">u 2023. godini </w:t>
      </w:r>
      <w:r w:rsidR="001C7B1C" w:rsidRPr="00E31E90">
        <w:rPr>
          <w:rFonts w:ascii="Times New Roman" w:hAnsi="Times New Roman" w:cs="Times New Roman"/>
          <w:sz w:val="24"/>
          <w:szCs w:val="24"/>
        </w:rPr>
        <w:t>očekuju manji</w:t>
      </w:r>
      <w:r w:rsidRPr="00E31E90">
        <w:rPr>
          <w:rFonts w:ascii="Times New Roman" w:hAnsi="Times New Roman" w:cs="Times New Roman"/>
          <w:sz w:val="24"/>
          <w:szCs w:val="24"/>
        </w:rPr>
        <w:t xml:space="preserve"> primici od prodaje dionica</w:t>
      </w:r>
      <w:r w:rsidR="0021313F" w:rsidRPr="00E31E90">
        <w:rPr>
          <w:rFonts w:ascii="Times New Roman" w:hAnsi="Times New Roman" w:cs="Times New Roman"/>
          <w:sz w:val="24"/>
          <w:szCs w:val="24"/>
        </w:rPr>
        <w:t>/</w:t>
      </w:r>
      <w:r w:rsidRPr="00E31E90">
        <w:rPr>
          <w:rFonts w:ascii="Times New Roman" w:hAnsi="Times New Roman" w:cs="Times New Roman"/>
          <w:sz w:val="24"/>
          <w:szCs w:val="24"/>
        </w:rPr>
        <w:t>udje</w:t>
      </w:r>
      <w:r w:rsidR="00B9638A" w:rsidRPr="00E31E90">
        <w:rPr>
          <w:rFonts w:ascii="Times New Roman" w:hAnsi="Times New Roman" w:cs="Times New Roman"/>
          <w:sz w:val="24"/>
          <w:szCs w:val="24"/>
        </w:rPr>
        <w:t>la društava u vlasništvu Centra</w:t>
      </w:r>
      <w:r w:rsidRPr="00E31E90">
        <w:rPr>
          <w:rFonts w:ascii="Times New Roman" w:hAnsi="Times New Roman" w:cs="Times New Roman"/>
          <w:sz w:val="24"/>
          <w:szCs w:val="24"/>
        </w:rPr>
        <w:t>.</w:t>
      </w:r>
    </w:p>
    <w:p w14:paraId="393D8575" w14:textId="77777777" w:rsidR="00B9638A" w:rsidRPr="00E31E90" w:rsidRDefault="00B9638A" w:rsidP="00B9638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35BD89" w14:textId="2E306641" w:rsidR="00C238AE" w:rsidRPr="00E31E90" w:rsidRDefault="00C238AE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 xml:space="preserve">IZDACI ZA FINANCIJSKU IMOVINU I OTPLATE ZAJMOVA </w:t>
      </w:r>
    </w:p>
    <w:p w14:paraId="11CF944C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4F70E" w14:textId="2B57828D" w:rsidR="00C238AE" w:rsidRPr="00E31E90" w:rsidRDefault="00654BB9" w:rsidP="00B9638A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za razdoblje 202</w:t>
      </w:r>
      <w:r w:rsidR="00FA3705" w:rsidRPr="00E31E90">
        <w:rPr>
          <w:rFonts w:ascii="Times New Roman" w:hAnsi="Times New Roman" w:cs="Times New Roman"/>
          <w:sz w:val="24"/>
          <w:szCs w:val="24"/>
        </w:rPr>
        <w:t>3</w:t>
      </w:r>
      <w:r w:rsidRPr="00E31E90">
        <w:rPr>
          <w:rFonts w:ascii="Times New Roman" w:hAnsi="Times New Roman" w:cs="Times New Roman"/>
          <w:sz w:val="24"/>
          <w:szCs w:val="24"/>
        </w:rPr>
        <w:t>. - 202</w:t>
      </w:r>
      <w:r w:rsidR="00FA3705" w:rsidRPr="00E31E90">
        <w:rPr>
          <w:rFonts w:ascii="Times New Roman" w:hAnsi="Times New Roman" w:cs="Times New Roman"/>
          <w:sz w:val="24"/>
          <w:szCs w:val="24"/>
        </w:rPr>
        <w:t>5</w:t>
      </w:r>
      <w:r w:rsidR="00C238AE" w:rsidRPr="00E31E90">
        <w:rPr>
          <w:rFonts w:ascii="Times New Roman" w:hAnsi="Times New Roman" w:cs="Times New Roman"/>
          <w:sz w:val="24"/>
          <w:szCs w:val="24"/>
        </w:rPr>
        <w:t xml:space="preserve">. godine ne planira izdatke za financijsku imovinu i otplate zajmova. </w:t>
      </w:r>
    </w:p>
    <w:p w14:paraId="0976961A" w14:textId="6F351532" w:rsidR="00B9638A" w:rsidRPr="00E31E90" w:rsidRDefault="00B9638A" w:rsidP="00B963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EB01A" w14:textId="612872B4" w:rsidR="00F66F94" w:rsidRPr="00E31E90" w:rsidRDefault="00F66F94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PRIJENOS SREDSTAVA IZ PRETHODNE / U SLJEDEĆU GODINU</w:t>
      </w:r>
    </w:p>
    <w:p w14:paraId="67C53D14" w14:textId="77777777" w:rsidR="00E31E90" w:rsidRPr="00E31E90" w:rsidRDefault="00E31E90" w:rsidP="00E31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99D84" w14:textId="596F2838" w:rsidR="002C429A" w:rsidRPr="00E31E90" w:rsidRDefault="00F66F94" w:rsidP="0074773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Ukupni prihodi i primici </w:t>
      </w:r>
      <w:r w:rsidR="00FD7727" w:rsidRPr="00E31E90">
        <w:rPr>
          <w:rFonts w:ascii="Times New Roman" w:hAnsi="Times New Roman" w:cs="Times New Roman"/>
          <w:sz w:val="24"/>
          <w:szCs w:val="24"/>
        </w:rPr>
        <w:t>Cent</w:t>
      </w:r>
      <w:r w:rsidRPr="00E31E90">
        <w:rPr>
          <w:rFonts w:ascii="Times New Roman" w:hAnsi="Times New Roman" w:cs="Times New Roman"/>
          <w:sz w:val="24"/>
          <w:szCs w:val="24"/>
        </w:rPr>
        <w:t>ra nisu jednaki ukupnim rashodima i izdacima, slijedom čega</w:t>
      </w:r>
      <w:r w:rsidR="00FD7727" w:rsidRPr="00E31E90">
        <w:rPr>
          <w:rFonts w:ascii="Times New Roman" w:hAnsi="Times New Roman" w:cs="Times New Roman"/>
          <w:sz w:val="24"/>
          <w:szCs w:val="24"/>
        </w:rPr>
        <w:t xml:space="preserve"> za razdoblje 2023. - 2025. godine</w:t>
      </w:r>
      <w:r w:rsidRPr="00E31E90">
        <w:rPr>
          <w:rFonts w:ascii="Times New Roman" w:hAnsi="Times New Roman" w:cs="Times New Roman"/>
          <w:sz w:val="24"/>
          <w:szCs w:val="24"/>
        </w:rPr>
        <w:t xml:space="preserve"> Centar </w:t>
      </w:r>
      <w:r w:rsidR="00EE3054" w:rsidRPr="00E31E90">
        <w:rPr>
          <w:rFonts w:ascii="Times New Roman" w:hAnsi="Times New Roman" w:cs="Times New Roman"/>
          <w:sz w:val="24"/>
          <w:szCs w:val="24"/>
        </w:rPr>
        <w:t>planira</w:t>
      </w:r>
      <w:r w:rsidRPr="00E31E90">
        <w:rPr>
          <w:rFonts w:ascii="Times New Roman" w:hAnsi="Times New Roman" w:cs="Times New Roman"/>
          <w:sz w:val="24"/>
          <w:szCs w:val="24"/>
        </w:rPr>
        <w:t xml:space="preserve"> prijenos sredstava iz prethodne</w:t>
      </w:r>
      <w:r w:rsidR="003112B8" w:rsidRPr="00E31E90">
        <w:rPr>
          <w:rFonts w:ascii="Times New Roman" w:hAnsi="Times New Roman" w:cs="Times New Roman"/>
          <w:sz w:val="24"/>
          <w:szCs w:val="24"/>
        </w:rPr>
        <w:t xml:space="preserve"> / u sljedeću godinu</w:t>
      </w:r>
      <w:r w:rsidR="00FD7727" w:rsidRPr="00E31E90">
        <w:rPr>
          <w:rFonts w:ascii="Times New Roman" w:hAnsi="Times New Roman" w:cs="Times New Roman"/>
          <w:sz w:val="24"/>
          <w:szCs w:val="24"/>
        </w:rPr>
        <w:t xml:space="preserve"> u slijedećim iznosima: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496"/>
        <w:gridCol w:w="1431"/>
        <w:gridCol w:w="1210"/>
        <w:gridCol w:w="1560"/>
        <w:gridCol w:w="1495"/>
      </w:tblGrid>
      <w:tr w:rsidR="001173A3" w:rsidRPr="00E31E90" w14:paraId="3742038C" w14:textId="77777777" w:rsidTr="00844B74">
        <w:trPr>
          <w:trHeight w:val="54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DCCC" w14:textId="54DE2254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925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PLAN ZA 2022.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4E1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PRIJEDLOG PLANA ZA 2023.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3AE" w14:textId="7CED7C0C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INDEKS 2023/2022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FEB" w14:textId="3AC3A8CD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E96" w14:textId="77777777" w:rsidR="001173A3" w:rsidRPr="00E31E90" w:rsidRDefault="001173A3" w:rsidP="00117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2025.</w:t>
            </w:r>
          </w:p>
        </w:tc>
      </w:tr>
      <w:tr w:rsidR="001173A3" w:rsidRPr="00E31E90" w14:paraId="3CBF539B" w14:textId="77777777" w:rsidTr="00844B74">
        <w:trPr>
          <w:trHeight w:val="54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F151" w14:textId="0A3B6D80" w:rsidR="001173A3" w:rsidRPr="00E31E90" w:rsidRDefault="001173A3" w:rsidP="00117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PRIJENOS SREDSTAVA IZ PRETHODNE GODINE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576" w14:textId="03036BC2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24.565.435,59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594" w14:textId="23B3E229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28.348.036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AB4" w14:textId="3DBCE5F9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115,40%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650" w14:textId="5CDBA7CA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26.305.436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9C51" w14:textId="07880A56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23.104.336</w:t>
            </w:r>
          </w:p>
        </w:tc>
      </w:tr>
      <w:tr w:rsidR="001173A3" w:rsidRPr="00E31E90" w14:paraId="196B997C" w14:textId="77777777" w:rsidTr="00844B74">
        <w:trPr>
          <w:trHeight w:val="52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0A9" w14:textId="3667CDF1" w:rsidR="001173A3" w:rsidRPr="00E31E90" w:rsidRDefault="001173A3" w:rsidP="001173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PRIJENOS SREDSTAVA U SLJEDEĆU GODINU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8495" w14:textId="42AA4C54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-28.348.035,65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2304" w14:textId="6BDBD718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-26.305.436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68B9" w14:textId="12CF66FD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92,79%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6F5" w14:textId="0E9321EE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-23.104.336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B0F" w14:textId="38540E62" w:rsidR="001173A3" w:rsidRPr="00E31E90" w:rsidRDefault="001173A3" w:rsidP="001173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-19.878.036</w:t>
            </w:r>
          </w:p>
        </w:tc>
      </w:tr>
    </w:tbl>
    <w:p w14:paraId="5975DC6F" w14:textId="58EC9D4D" w:rsidR="00A7290B" w:rsidRPr="00E31E90" w:rsidRDefault="00591816" w:rsidP="00844B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je u 2022. godinu prenio višak sredstava ukupnih prihoda i primitaka nad rashodima i izdacima u iznosu od</w:t>
      </w:r>
      <w:r w:rsidR="00A6017D" w:rsidRPr="00E31E90">
        <w:rPr>
          <w:rFonts w:ascii="Times New Roman" w:hAnsi="Times New Roman" w:cs="Times New Roman"/>
          <w:sz w:val="24"/>
          <w:szCs w:val="24"/>
        </w:rPr>
        <w:t xml:space="preserve"> 24.565.435,59 eura, te se očekuje </w:t>
      </w:r>
      <w:r w:rsidR="006341E4" w:rsidRPr="00E31E90">
        <w:rPr>
          <w:rFonts w:ascii="Times New Roman" w:hAnsi="Times New Roman" w:cs="Times New Roman"/>
          <w:sz w:val="24"/>
          <w:szCs w:val="24"/>
        </w:rPr>
        <w:t xml:space="preserve">povećanje prijenosa </w:t>
      </w:r>
      <w:r w:rsidR="00EE3054" w:rsidRPr="00E31E90">
        <w:rPr>
          <w:rFonts w:ascii="Times New Roman" w:hAnsi="Times New Roman" w:cs="Times New Roman"/>
          <w:sz w:val="24"/>
          <w:szCs w:val="24"/>
        </w:rPr>
        <w:t xml:space="preserve">navedenih </w:t>
      </w:r>
      <w:r w:rsidR="006341E4" w:rsidRPr="00E31E90">
        <w:rPr>
          <w:rFonts w:ascii="Times New Roman" w:hAnsi="Times New Roman" w:cs="Times New Roman"/>
          <w:sz w:val="24"/>
          <w:szCs w:val="24"/>
        </w:rPr>
        <w:t>sredstava iz 2022. u 2023. godinu za iznos od 3.782.600,06 eura</w:t>
      </w:r>
      <w:r w:rsidR="008B02FB" w:rsidRPr="00E31E90">
        <w:rPr>
          <w:rFonts w:ascii="Times New Roman" w:hAnsi="Times New Roman" w:cs="Times New Roman"/>
          <w:sz w:val="24"/>
          <w:szCs w:val="24"/>
        </w:rPr>
        <w:t xml:space="preserve"> tj. za 15,40%</w:t>
      </w:r>
      <w:r w:rsidR="00A7290B" w:rsidRPr="00E31E90">
        <w:rPr>
          <w:rFonts w:ascii="Times New Roman" w:hAnsi="Times New Roman" w:cs="Times New Roman"/>
          <w:sz w:val="24"/>
          <w:szCs w:val="24"/>
        </w:rPr>
        <w:t>.</w:t>
      </w:r>
    </w:p>
    <w:p w14:paraId="6B85DDE9" w14:textId="5177C4D4" w:rsidR="00E15A6A" w:rsidRPr="00E31E90" w:rsidRDefault="006341E4" w:rsidP="00E31E90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</w:t>
      </w:r>
      <w:r w:rsidR="00A6017D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>za</w:t>
      </w:r>
      <w:r w:rsidR="00A6017D" w:rsidRPr="00E31E90">
        <w:rPr>
          <w:rFonts w:ascii="Times New Roman" w:hAnsi="Times New Roman" w:cs="Times New Roman"/>
          <w:sz w:val="24"/>
          <w:szCs w:val="24"/>
        </w:rPr>
        <w:t xml:space="preserve"> 2023. godin</w:t>
      </w:r>
      <w:r w:rsidRPr="00E31E90">
        <w:rPr>
          <w:rFonts w:ascii="Times New Roman" w:hAnsi="Times New Roman" w:cs="Times New Roman"/>
          <w:sz w:val="24"/>
          <w:szCs w:val="24"/>
        </w:rPr>
        <w:t>u</w:t>
      </w:r>
      <w:r w:rsidR="00A6017D" w:rsidRPr="00E31E90">
        <w:rPr>
          <w:rFonts w:ascii="Times New Roman" w:hAnsi="Times New Roman" w:cs="Times New Roman"/>
          <w:sz w:val="24"/>
          <w:szCs w:val="24"/>
        </w:rPr>
        <w:t xml:space="preserve"> planira smanjenje prijenosa </w:t>
      </w:r>
      <w:r w:rsidRPr="00E31E90">
        <w:rPr>
          <w:rFonts w:ascii="Times New Roman" w:hAnsi="Times New Roman" w:cs="Times New Roman"/>
          <w:sz w:val="24"/>
          <w:szCs w:val="24"/>
        </w:rPr>
        <w:t>sredstava</w:t>
      </w:r>
      <w:r w:rsidR="00A6017D" w:rsidRPr="00E31E90">
        <w:rPr>
          <w:rFonts w:ascii="Times New Roman" w:hAnsi="Times New Roman" w:cs="Times New Roman"/>
          <w:sz w:val="24"/>
          <w:szCs w:val="24"/>
        </w:rPr>
        <w:t xml:space="preserve"> </w:t>
      </w:r>
      <w:r w:rsidRPr="00E31E90">
        <w:rPr>
          <w:rFonts w:ascii="Times New Roman" w:hAnsi="Times New Roman" w:cs="Times New Roman"/>
          <w:sz w:val="24"/>
          <w:szCs w:val="24"/>
        </w:rPr>
        <w:t xml:space="preserve">u 2024. godinu </w:t>
      </w:r>
      <w:r w:rsidR="00A6017D" w:rsidRPr="00E31E90">
        <w:rPr>
          <w:rFonts w:ascii="Times New Roman" w:hAnsi="Times New Roman" w:cs="Times New Roman"/>
          <w:sz w:val="24"/>
          <w:szCs w:val="24"/>
        </w:rPr>
        <w:t>za iznos od 2.042.600,00 eura</w:t>
      </w:r>
      <w:r w:rsidRPr="00E31E90">
        <w:rPr>
          <w:rFonts w:ascii="Times New Roman" w:hAnsi="Times New Roman" w:cs="Times New Roman"/>
          <w:sz w:val="24"/>
          <w:szCs w:val="24"/>
        </w:rPr>
        <w:t>, te dodatno smanjenje prijenosa sredstava iz 2024. u 2025. godinu za iznos od 3.201.100,00 eura.</w:t>
      </w:r>
      <w:r w:rsidR="00E31E90">
        <w:rPr>
          <w:rFonts w:ascii="Times New Roman" w:hAnsi="Times New Roman" w:cs="Times New Roman"/>
          <w:sz w:val="24"/>
          <w:szCs w:val="24"/>
        </w:rPr>
        <w:t xml:space="preserve"> </w:t>
      </w:r>
      <w:r w:rsidR="00A7290B" w:rsidRPr="00E31E90">
        <w:rPr>
          <w:rFonts w:ascii="Times New Roman" w:hAnsi="Times New Roman" w:cs="Times New Roman"/>
          <w:sz w:val="24"/>
          <w:szCs w:val="24"/>
        </w:rPr>
        <w:t>Planirani prijenos sredstava koristit će se za podmirenje tekućih obveza Centra.</w:t>
      </w:r>
    </w:p>
    <w:p w14:paraId="1EE0B3EB" w14:textId="77777777" w:rsidR="00E31E90" w:rsidRPr="00E31E90" w:rsidRDefault="00E31E90" w:rsidP="00E15A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E1958" w14:textId="3C8133F6" w:rsidR="00E15A6A" w:rsidRPr="00E31E90" w:rsidRDefault="00E15A6A" w:rsidP="00E15A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E90">
        <w:rPr>
          <w:rFonts w:ascii="Times New Roman" w:hAnsi="Times New Roman" w:cs="Times New Roman"/>
          <w:b/>
          <w:sz w:val="24"/>
          <w:szCs w:val="24"/>
        </w:rPr>
        <w:t>STANJE UKUPNIH I DOSPJELIH OBVEZA CENTRA</w:t>
      </w:r>
    </w:p>
    <w:p w14:paraId="75BF70C3" w14:textId="77777777" w:rsidR="00E15A6A" w:rsidRPr="00E31E90" w:rsidRDefault="00E15A6A" w:rsidP="00E15A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DAE53" w14:textId="128FD3FB" w:rsidR="00A7290B" w:rsidRPr="00E31E90" w:rsidRDefault="00A7290B" w:rsidP="00A7290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Stanje </w:t>
      </w:r>
      <w:r w:rsidR="008B02FB" w:rsidRPr="00E31E90">
        <w:rPr>
          <w:rFonts w:ascii="Times New Roman" w:hAnsi="Times New Roman" w:cs="Times New Roman"/>
          <w:sz w:val="24"/>
          <w:szCs w:val="24"/>
        </w:rPr>
        <w:t xml:space="preserve">ukupnih </w:t>
      </w:r>
      <w:r w:rsidRPr="00E31E90">
        <w:rPr>
          <w:rFonts w:ascii="Times New Roman" w:hAnsi="Times New Roman" w:cs="Times New Roman"/>
          <w:sz w:val="24"/>
          <w:szCs w:val="24"/>
        </w:rPr>
        <w:t>obveza Centra na dan 31.12.2021. godine iznosi</w:t>
      </w:r>
      <w:r w:rsidR="00E15A6A" w:rsidRPr="00E31E90">
        <w:rPr>
          <w:rFonts w:ascii="Times New Roman" w:hAnsi="Times New Roman" w:cs="Times New Roman"/>
          <w:sz w:val="24"/>
          <w:szCs w:val="24"/>
        </w:rPr>
        <w:t>lo je</w:t>
      </w:r>
      <w:r w:rsidRPr="00E31E90">
        <w:rPr>
          <w:rFonts w:ascii="Times New Roman" w:hAnsi="Times New Roman" w:cs="Times New Roman"/>
          <w:sz w:val="24"/>
          <w:szCs w:val="24"/>
        </w:rPr>
        <w:t xml:space="preserve"> 1.328.832.963 kn, te su iste neznatno veće (1,55%) u odnosu na stanje </w:t>
      </w:r>
      <w:r w:rsidR="008B02FB" w:rsidRPr="00E31E90">
        <w:rPr>
          <w:rFonts w:ascii="Times New Roman" w:hAnsi="Times New Roman" w:cs="Times New Roman"/>
          <w:sz w:val="24"/>
          <w:szCs w:val="24"/>
        </w:rPr>
        <w:t xml:space="preserve">ukupnih </w:t>
      </w:r>
      <w:r w:rsidRPr="00E31E90">
        <w:rPr>
          <w:rFonts w:ascii="Times New Roman" w:hAnsi="Times New Roman" w:cs="Times New Roman"/>
          <w:sz w:val="24"/>
          <w:szCs w:val="24"/>
        </w:rPr>
        <w:t xml:space="preserve">obveza Centra na dan 01.01.2021. godine kada su </w:t>
      </w:r>
      <w:r w:rsidR="00E549E6" w:rsidRPr="00E31E90">
        <w:rPr>
          <w:rFonts w:ascii="Times New Roman" w:hAnsi="Times New Roman" w:cs="Times New Roman"/>
          <w:sz w:val="24"/>
          <w:szCs w:val="24"/>
        </w:rPr>
        <w:t>iste</w:t>
      </w:r>
      <w:r w:rsidRPr="00E31E90">
        <w:rPr>
          <w:rFonts w:ascii="Times New Roman" w:hAnsi="Times New Roman" w:cs="Times New Roman"/>
          <w:sz w:val="24"/>
          <w:szCs w:val="24"/>
        </w:rPr>
        <w:t xml:space="preserve"> iznosile 1.308.272.201 kn. Ovo povećanje prvenstveno je rezultat obveza prema državnom proračunu Republike Hrvatske za realiziranu prodaju dionica/poslovnih udjela trgovačkih društva iz portfelja Republike Hrvatske koja je ostvarena u prosincu 2021. godine, a koje obveze su podmirene u siječnju 2022. godine.</w:t>
      </w:r>
    </w:p>
    <w:p w14:paraId="38915E51" w14:textId="7720EE33" w:rsidR="004C748D" w:rsidRPr="00E31E90" w:rsidRDefault="00E15A6A" w:rsidP="004C74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Na dan 31.12.2021. godine Centar je imao nepodmirene dospjele obveze u ukupnom iznosu od 1.303.439.614,09 kn</w:t>
      </w:r>
      <w:r w:rsidR="004C748D" w:rsidRPr="00E31E90">
        <w:rPr>
          <w:rFonts w:ascii="Times New Roman" w:hAnsi="Times New Roman" w:cs="Times New Roman"/>
          <w:sz w:val="24"/>
          <w:szCs w:val="24"/>
        </w:rPr>
        <w:t>, a koje obveze se odnose na:</w:t>
      </w:r>
    </w:p>
    <w:p w14:paraId="3BDC1BEC" w14:textId="77777777" w:rsidR="004C748D" w:rsidRPr="00E31E90" w:rsidRDefault="004C748D" w:rsidP="004C748D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obveze prema HZMO-u s osnova potraživanja iz razdoblja od 1994. do 2000. godine u ukupnom iznosu od 1.083.385.601,00 kuna;</w:t>
      </w:r>
    </w:p>
    <w:p w14:paraId="0628060E" w14:textId="77777777" w:rsidR="004C748D" w:rsidRPr="00E31E90" w:rsidRDefault="004C748D" w:rsidP="004C748D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obveze prema Ministarstvu financija s osnova otkupa potraživanja od HPB-a iz razdoblja od 2001. do 2004. godine u iznosu od 190.054.013,09 kuna;</w:t>
      </w:r>
    </w:p>
    <w:p w14:paraId="3573045B" w14:textId="75FB5554" w:rsidR="008B02FB" w:rsidRPr="00AC7F5A" w:rsidRDefault="004C748D" w:rsidP="003C3840">
      <w:pPr>
        <w:numPr>
          <w:ilvl w:val="0"/>
          <w:numId w:val="6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7F5A">
        <w:rPr>
          <w:rFonts w:ascii="Times New Roman" w:hAnsi="Times New Roman" w:cs="Times New Roman"/>
          <w:sz w:val="24"/>
          <w:szCs w:val="24"/>
        </w:rPr>
        <w:t>obveze prema Ministarstvu prostornoga uređenja, graditeljstva i državne imovine s osnova prijenosa obveza i potraživanja</w:t>
      </w:r>
      <w:r w:rsidR="00AC7F5A" w:rsidRPr="00AC7F5A">
        <w:rPr>
          <w:rFonts w:ascii="Times New Roman" w:hAnsi="Times New Roman" w:cs="Times New Roman"/>
          <w:sz w:val="24"/>
          <w:szCs w:val="24"/>
        </w:rPr>
        <w:t xml:space="preserve"> DAB-a (sada:</w:t>
      </w:r>
      <w:r w:rsidRPr="00AC7F5A">
        <w:rPr>
          <w:rFonts w:ascii="Times New Roman" w:hAnsi="Times New Roman" w:cs="Times New Roman"/>
          <w:sz w:val="24"/>
          <w:szCs w:val="24"/>
        </w:rPr>
        <w:t xml:space="preserve"> </w:t>
      </w:r>
      <w:r w:rsidR="003361C4" w:rsidRPr="00AC7F5A">
        <w:rPr>
          <w:rFonts w:ascii="Times New Roman" w:hAnsi="Times New Roman" w:cs="Times New Roman"/>
          <w:sz w:val="24"/>
          <w:szCs w:val="24"/>
        </w:rPr>
        <w:t>Hrvatsk</w:t>
      </w:r>
      <w:r w:rsidR="00AC7F5A" w:rsidRPr="00AC7F5A">
        <w:rPr>
          <w:rFonts w:ascii="Times New Roman" w:hAnsi="Times New Roman" w:cs="Times New Roman"/>
          <w:sz w:val="24"/>
          <w:szCs w:val="24"/>
        </w:rPr>
        <w:t>a</w:t>
      </w:r>
      <w:r w:rsidR="003361C4" w:rsidRPr="00AC7F5A">
        <w:rPr>
          <w:rFonts w:ascii="Times New Roman" w:hAnsi="Times New Roman" w:cs="Times New Roman"/>
          <w:sz w:val="24"/>
          <w:szCs w:val="24"/>
        </w:rPr>
        <w:t xml:space="preserve"> agencij</w:t>
      </w:r>
      <w:r w:rsidR="00AC7F5A" w:rsidRPr="00AC7F5A">
        <w:rPr>
          <w:rFonts w:ascii="Times New Roman" w:hAnsi="Times New Roman" w:cs="Times New Roman"/>
          <w:sz w:val="24"/>
          <w:szCs w:val="24"/>
        </w:rPr>
        <w:t>a</w:t>
      </w:r>
      <w:r w:rsidR="003361C4" w:rsidRPr="00AC7F5A">
        <w:rPr>
          <w:rFonts w:ascii="Times New Roman" w:hAnsi="Times New Roman" w:cs="Times New Roman"/>
          <w:sz w:val="24"/>
          <w:szCs w:val="24"/>
        </w:rPr>
        <w:t xml:space="preserve"> za osiguranje depozita</w:t>
      </w:r>
      <w:r w:rsidR="00AC7F5A" w:rsidRPr="00AC7F5A">
        <w:rPr>
          <w:rFonts w:ascii="Times New Roman" w:hAnsi="Times New Roman" w:cs="Times New Roman"/>
          <w:sz w:val="24"/>
          <w:szCs w:val="24"/>
        </w:rPr>
        <w:t>)</w:t>
      </w:r>
      <w:r w:rsidRPr="00AC7F5A">
        <w:rPr>
          <w:rFonts w:ascii="Times New Roman" w:hAnsi="Times New Roman" w:cs="Times New Roman"/>
          <w:sz w:val="24"/>
          <w:szCs w:val="24"/>
        </w:rPr>
        <w:t xml:space="preserve"> na navedeno Ministarstvo u iznosu od 30.000.000,00 kuna.</w:t>
      </w:r>
    </w:p>
    <w:p w14:paraId="6323C168" w14:textId="77777777" w:rsidR="003C3840" w:rsidRPr="003C3840" w:rsidRDefault="003C3840" w:rsidP="003C3840">
      <w:pPr>
        <w:ind w:left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B6D90F" w14:textId="04267AEF" w:rsidR="00E15A6A" w:rsidRPr="00E31E90" w:rsidRDefault="00E15A6A" w:rsidP="00E15A6A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 xml:space="preserve">Stanje </w:t>
      </w:r>
      <w:r w:rsidR="008B02FB" w:rsidRPr="00E31E90">
        <w:rPr>
          <w:rFonts w:ascii="Times New Roman" w:hAnsi="Times New Roman" w:cs="Times New Roman"/>
          <w:sz w:val="24"/>
          <w:szCs w:val="24"/>
        </w:rPr>
        <w:t xml:space="preserve">ukupnih </w:t>
      </w:r>
      <w:r w:rsidRPr="00E31E90">
        <w:rPr>
          <w:rFonts w:ascii="Times New Roman" w:hAnsi="Times New Roman" w:cs="Times New Roman"/>
          <w:sz w:val="24"/>
          <w:szCs w:val="24"/>
        </w:rPr>
        <w:t xml:space="preserve">obveza Centra na dan 30.06.2022. godine iznosilo je 1.309.448.693,55 kn, te su iste neznatno manje u odnosu na stanje </w:t>
      </w:r>
      <w:r w:rsidR="00E549E6" w:rsidRPr="00E31E90">
        <w:rPr>
          <w:rFonts w:ascii="Times New Roman" w:hAnsi="Times New Roman" w:cs="Times New Roman"/>
          <w:sz w:val="24"/>
          <w:szCs w:val="24"/>
        </w:rPr>
        <w:t xml:space="preserve">ukupnih </w:t>
      </w:r>
      <w:r w:rsidRPr="00E31E90">
        <w:rPr>
          <w:rFonts w:ascii="Times New Roman" w:hAnsi="Times New Roman" w:cs="Times New Roman"/>
          <w:sz w:val="24"/>
          <w:szCs w:val="24"/>
        </w:rPr>
        <w:t xml:space="preserve">obveza Centra na dan 01.01.2022. godine kada su </w:t>
      </w:r>
      <w:r w:rsidR="00E549E6" w:rsidRPr="00E31E90">
        <w:rPr>
          <w:rFonts w:ascii="Times New Roman" w:hAnsi="Times New Roman" w:cs="Times New Roman"/>
          <w:sz w:val="24"/>
          <w:szCs w:val="24"/>
        </w:rPr>
        <w:t xml:space="preserve">iste </w:t>
      </w:r>
      <w:r w:rsidRPr="00E31E90">
        <w:rPr>
          <w:rFonts w:ascii="Times New Roman" w:hAnsi="Times New Roman" w:cs="Times New Roman"/>
          <w:sz w:val="24"/>
          <w:szCs w:val="24"/>
        </w:rPr>
        <w:t>iznosile 1.328.832.963,09 kn. Ovo smanjenje prvenstveno je rezultat manjih obveza Centra prema državnom proračunu Republike Hrvatske s osnova realizirane prodaje dionica/poslovnih udjela trgovačkih društva iz portfelja Republike Hrvatske (obveze koje se u tekućem mjesecu plaćaju za prethodni mjesec s osnova prodaje).</w:t>
      </w:r>
    </w:p>
    <w:p w14:paraId="77D4DAF3" w14:textId="22C08B3D" w:rsidR="00FD7727" w:rsidRPr="00E31E90" w:rsidRDefault="00E15A6A" w:rsidP="004C748D">
      <w:pPr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Na dan 30.06.2022. godine Centar je imao nepodmirene dospjele obveze u ukupnom iznosu od 1.303.439.614,09 kn, a koje</w:t>
      </w:r>
      <w:r w:rsidR="0026421F" w:rsidRPr="00E31E90">
        <w:rPr>
          <w:rFonts w:ascii="Times New Roman" w:hAnsi="Times New Roman" w:cs="Times New Roman"/>
          <w:sz w:val="24"/>
          <w:szCs w:val="24"/>
        </w:rPr>
        <w:t xml:space="preserve"> dospjele</w:t>
      </w:r>
      <w:r w:rsidRPr="00E31E90">
        <w:rPr>
          <w:rFonts w:ascii="Times New Roman" w:hAnsi="Times New Roman" w:cs="Times New Roman"/>
          <w:sz w:val="24"/>
          <w:szCs w:val="24"/>
        </w:rPr>
        <w:t xml:space="preserve"> obveze </w:t>
      </w:r>
      <w:r w:rsidR="004C748D" w:rsidRPr="00E31E90">
        <w:rPr>
          <w:rFonts w:ascii="Times New Roman" w:hAnsi="Times New Roman" w:cs="Times New Roman"/>
          <w:sz w:val="24"/>
          <w:szCs w:val="24"/>
        </w:rPr>
        <w:t xml:space="preserve">su nepromijenjene u odnosu na stanje dospjelih obveza Centra na dan </w:t>
      </w:r>
      <w:r w:rsidR="003F5A68" w:rsidRPr="00E31E90">
        <w:rPr>
          <w:rFonts w:ascii="Times New Roman" w:hAnsi="Times New Roman" w:cs="Times New Roman"/>
          <w:sz w:val="24"/>
          <w:szCs w:val="24"/>
        </w:rPr>
        <w:t>01</w:t>
      </w:r>
      <w:r w:rsidR="004C748D" w:rsidRPr="00E31E90">
        <w:rPr>
          <w:rFonts w:ascii="Times New Roman" w:hAnsi="Times New Roman" w:cs="Times New Roman"/>
          <w:sz w:val="24"/>
          <w:szCs w:val="24"/>
        </w:rPr>
        <w:t>.</w:t>
      </w:r>
      <w:r w:rsidR="003F5A68" w:rsidRPr="00E31E90">
        <w:rPr>
          <w:rFonts w:ascii="Times New Roman" w:hAnsi="Times New Roman" w:cs="Times New Roman"/>
          <w:sz w:val="24"/>
          <w:szCs w:val="24"/>
        </w:rPr>
        <w:t>01</w:t>
      </w:r>
      <w:r w:rsidR="004C748D" w:rsidRPr="00E31E90">
        <w:rPr>
          <w:rFonts w:ascii="Times New Roman" w:hAnsi="Times New Roman" w:cs="Times New Roman"/>
          <w:sz w:val="24"/>
          <w:szCs w:val="24"/>
        </w:rPr>
        <w:t>.202</w:t>
      </w:r>
      <w:r w:rsidR="003F5A68" w:rsidRPr="00E31E90">
        <w:rPr>
          <w:rFonts w:ascii="Times New Roman" w:hAnsi="Times New Roman" w:cs="Times New Roman"/>
          <w:sz w:val="24"/>
          <w:szCs w:val="24"/>
        </w:rPr>
        <w:t>2</w:t>
      </w:r>
      <w:r w:rsidR="004C748D" w:rsidRPr="00E31E90">
        <w:rPr>
          <w:rFonts w:ascii="Times New Roman" w:hAnsi="Times New Roman" w:cs="Times New Roman"/>
          <w:sz w:val="24"/>
          <w:szCs w:val="24"/>
        </w:rPr>
        <w:t>. godine.</w:t>
      </w:r>
    </w:p>
    <w:p w14:paraId="19FFC113" w14:textId="77777777" w:rsidR="00E31E90" w:rsidRPr="00E31E90" w:rsidRDefault="00E31E90" w:rsidP="004C74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E80E0" w14:textId="7AC6D639" w:rsidR="002F7EB1" w:rsidRDefault="002F7EB1" w:rsidP="002F7EB1">
      <w:pPr>
        <w:pStyle w:val="ListParagraph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E90">
        <w:rPr>
          <w:rFonts w:ascii="Times New Roman" w:hAnsi="Times New Roman" w:cs="Times New Roman"/>
          <w:b/>
          <w:sz w:val="24"/>
          <w:szCs w:val="24"/>
          <w:u w:val="single"/>
        </w:rPr>
        <w:t>POSEBNI DIO</w:t>
      </w:r>
    </w:p>
    <w:p w14:paraId="39154769" w14:textId="77777777" w:rsidR="00E31E90" w:rsidRPr="00E31E90" w:rsidRDefault="00E31E90" w:rsidP="00E31E90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E9D79B" w14:textId="108C07D5" w:rsidR="002C429A" w:rsidRPr="00E31E90" w:rsidRDefault="00A7290B" w:rsidP="003F5A6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1E90">
        <w:rPr>
          <w:rFonts w:ascii="Times New Roman" w:hAnsi="Times New Roman" w:cs="Times New Roman"/>
          <w:sz w:val="24"/>
          <w:szCs w:val="24"/>
        </w:rPr>
        <w:t>Centar je za razdoblje 2023. - 2025. godine planirao rashode poslovanja i rashode za nabavu nefinancijske imovine te ih rasporedio na aktivnosti i projekte kojima se osigurava realizacija programa Administrativno upravljanje i Opremanje, sve u slijedećim iznosima: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366"/>
        <w:gridCol w:w="1366"/>
        <w:gridCol w:w="1383"/>
        <w:gridCol w:w="1072"/>
        <w:gridCol w:w="1494"/>
        <w:gridCol w:w="1494"/>
      </w:tblGrid>
      <w:tr w:rsidR="009025CA" w:rsidRPr="00E31E90" w14:paraId="45F1D26F" w14:textId="77777777" w:rsidTr="009025CA">
        <w:trPr>
          <w:trHeight w:val="54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76B" w14:textId="17E1447B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B577" w14:textId="705B32BE" w:rsidR="009025CA" w:rsidRDefault="009025CA" w:rsidP="009025C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IZVRŠENJE</w:t>
            </w: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A853" w14:textId="20D96E27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PLAN ZA 2022.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153" w14:textId="77777777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PRIJEDLOG PLANA ZA 2023.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8D78" w14:textId="160B535A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INDEKS 2023/2022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1E55" w14:textId="53D0688C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2024.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9346" w14:textId="77777777" w:rsidR="009025CA" w:rsidRPr="00E31E90" w:rsidRDefault="009025CA" w:rsidP="009025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PROJEKCIJA PLANA ZA 2025.</w:t>
            </w:r>
          </w:p>
        </w:tc>
      </w:tr>
      <w:tr w:rsidR="009025CA" w:rsidRPr="00E31E90" w14:paraId="334AF5A3" w14:textId="77777777" w:rsidTr="009025CA">
        <w:trPr>
          <w:trHeight w:val="54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B839" w14:textId="42E0B303" w:rsidR="009025CA" w:rsidRPr="00E31E90" w:rsidRDefault="009025CA" w:rsidP="0090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ADMINISTRATIVNO UPRAVLJANJE I OPREMANJE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FA9" w14:textId="5CA1CF3A" w:rsidR="009025CA" w:rsidRPr="00E31E90" w:rsidRDefault="00376531" w:rsidP="009025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25CA"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 w:rsidR="009025CA"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 w:rsidR="009025CA"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2FB" w14:textId="161AD57A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10.397.504,80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631" w14:textId="386ECC27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8.086.200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88CD" w14:textId="4B89579F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77,77%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A4C7" w14:textId="126637A2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7.433.200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239" w14:textId="7B6779B9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7.259.200</w:t>
            </w:r>
          </w:p>
        </w:tc>
      </w:tr>
      <w:tr w:rsidR="009025CA" w:rsidRPr="00E31E90" w14:paraId="76AEBA2E" w14:textId="77777777" w:rsidTr="009025CA">
        <w:trPr>
          <w:trHeight w:val="528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4C2C" w14:textId="41405F78" w:rsidR="009025CA" w:rsidRPr="00E31E90" w:rsidRDefault="009025CA" w:rsidP="0090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ADMINISTRACIJA I UPRAVLJANJE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7E6" w14:textId="5F7B0351" w:rsidR="009025CA" w:rsidRPr="00E31E90" w:rsidRDefault="00376531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3.001.870,06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BA5" w14:textId="248509D6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9.991.373,01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5DB" w14:textId="6B45B146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7.869.800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F5D" w14:textId="6EF343E1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78,77%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CF07" w14:textId="457FD0F8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7.236.700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096B" w14:textId="3C5F6C01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7.014.700</w:t>
            </w:r>
          </w:p>
        </w:tc>
      </w:tr>
      <w:tr w:rsidR="009025CA" w:rsidRPr="00E31E90" w14:paraId="46317840" w14:textId="77777777" w:rsidTr="009025CA">
        <w:trPr>
          <w:trHeight w:val="536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6F46" w14:textId="2F130E7A" w:rsidR="009025CA" w:rsidRPr="00E31E90" w:rsidRDefault="009025CA" w:rsidP="00902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b/>
                <w:sz w:val="20"/>
                <w:szCs w:val="20"/>
              </w:rPr>
              <w:t>OPREMANJE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6DE" w14:textId="04CA49F3" w:rsidR="009025CA" w:rsidRPr="00E31E90" w:rsidRDefault="00376531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88.704,36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DF2" w14:textId="3AF4D4EA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406.131,79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B9F" w14:textId="662EA0CA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216.400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CDB" w14:textId="057FF5C5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53,28%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362" w14:textId="44B0F2CF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196.500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0A4E" w14:textId="69162A00" w:rsidR="009025CA" w:rsidRPr="00E31E90" w:rsidRDefault="009025CA" w:rsidP="009025C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31E90">
              <w:rPr>
                <w:rFonts w:ascii="Times New Roman" w:hAnsi="Times New Roman" w:cs="Times New Roman"/>
                <w:sz w:val="20"/>
                <w:szCs w:val="20"/>
              </w:rPr>
              <w:t>244.500</w:t>
            </w:r>
          </w:p>
        </w:tc>
      </w:tr>
    </w:tbl>
    <w:p w14:paraId="72DEFE99" w14:textId="794DCBE0" w:rsidR="0009642A" w:rsidRDefault="0009642A" w:rsidP="0009642A">
      <w:pPr>
        <w:jc w:val="both"/>
        <w:rPr>
          <w:b/>
        </w:rPr>
      </w:pPr>
    </w:p>
    <w:p w14:paraId="6FDA1B21" w14:textId="5D3590E2" w:rsidR="0009642A" w:rsidRPr="00E31E90" w:rsidRDefault="00773D1E" w:rsidP="005534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E90">
        <w:rPr>
          <w:rFonts w:ascii="Times New Roman" w:hAnsi="Times New Roman" w:cs="Times New Roman"/>
          <w:bCs/>
          <w:sz w:val="24"/>
          <w:szCs w:val="24"/>
        </w:rPr>
        <w:t>5000 ADMINISTRATIVNO UPRAVLJANJE I OPREMANJE</w:t>
      </w:r>
    </w:p>
    <w:p w14:paraId="0A89B486" w14:textId="0A3A4579" w:rsidR="009F63DE" w:rsidRDefault="009F63DE" w:rsidP="009F63DE">
      <w:pPr>
        <w:spacing w:before="100" w:beforeAutospacing="1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CILJ: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Cilj programa je ojačati učinkovitost poslovanja </w:t>
      </w:r>
      <w:r w:rsidR="00DA0962">
        <w:rPr>
          <w:rFonts w:ascii="Times New Roman" w:hAnsi="Times New Roman" w:cs="Times New Roman"/>
          <w:color w:val="000000"/>
          <w:sz w:val="24"/>
          <w:szCs w:val="24"/>
        </w:rPr>
        <w:t>Centra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kroz optimizaciju </w:t>
      </w:r>
      <w:r w:rsidR="002262AB">
        <w:rPr>
          <w:rFonts w:ascii="Times New Roman" w:hAnsi="Times New Roman" w:cs="Times New Roman"/>
          <w:color w:val="000000"/>
          <w:sz w:val="24"/>
          <w:szCs w:val="24"/>
        </w:rPr>
        <w:t>portfelja kojim upravlja Centar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DF3811" w14:textId="77777777" w:rsidR="009F63DE" w:rsidRDefault="009F63DE" w:rsidP="009F63DE">
      <w:pPr>
        <w:rPr>
          <w:color w:val="000000"/>
          <w:sz w:val="24"/>
          <w:szCs w:val="24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1396"/>
        <w:gridCol w:w="1735"/>
        <w:gridCol w:w="1256"/>
        <w:gridCol w:w="996"/>
        <w:gridCol w:w="1330"/>
        <w:gridCol w:w="1200"/>
        <w:gridCol w:w="1080"/>
        <w:gridCol w:w="1140"/>
      </w:tblGrid>
      <w:tr w:rsidR="009F63DE" w14:paraId="318AA3CC" w14:textId="77777777" w:rsidTr="009F63DE">
        <w:trPr>
          <w:trHeight w:val="88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76D7A5" w14:textId="77777777" w:rsidR="009F63DE" w:rsidRDefault="009F63DE">
            <w:pPr>
              <w:spacing w:before="100" w:beforeAutospacing="1"/>
              <w:jc w:val="center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Pokazatelj učinka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3B84E6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Definicija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166289F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Jedinica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313707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Polazna vrijednost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18C429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Izvor podataka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2A30B6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Ciljana vrijednost za 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9B8B76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Ciljana vrijednost za 2024.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42036F" w14:textId="77777777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Ciljana vrijednost za 2025.</w:t>
            </w:r>
          </w:p>
        </w:tc>
      </w:tr>
      <w:tr w:rsidR="009F63DE" w14:paraId="3958DB9E" w14:textId="77777777" w:rsidTr="009F63DE">
        <w:trPr>
          <w:trHeight w:val="1082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A738" w14:textId="61EAEC2D" w:rsidR="009F63DE" w:rsidRDefault="002262AB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Pokretanje postup</w:t>
            </w:r>
            <w:r w:rsidR="0017129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</w:t>
            </w:r>
            <w:r w:rsidR="006C5877">
              <w:rPr>
                <w:rFonts w:ascii="Times New Roman" w:hAnsi="Times New Roman" w:cs="Times New Roman"/>
                <w:sz w:val="18"/>
                <w:szCs w:val="18"/>
              </w:rPr>
              <w:t xml:space="preserve"> prodaje dionica / udjela trgovačkih društava kojima upravlja </w:t>
            </w:r>
            <w:r w:rsidR="00171298">
              <w:rPr>
                <w:rFonts w:ascii="Times New Roman" w:hAnsi="Times New Roman" w:cs="Times New Roman"/>
                <w:sz w:val="18"/>
                <w:szCs w:val="18"/>
              </w:rPr>
              <w:t>Centar</w:t>
            </w:r>
            <w:r w:rsidR="006C5877">
              <w:rPr>
                <w:rFonts w:ascii="Times New Roman" w:hAnsi="Times New Roman" w:cs="Times New Roman"/>
                <w:sz w:val="18"/>
                <w:szCs w:val="18"/>
              </w:rPr>
              <w:t xml:space="preserve"> sukladno odredbama Zakona</w:t>
            </w:r>
            <w:r w:rsidR="00F960A3">
              <w:rPr>
                <w:rFonts w:ascii="Times New Roman" w:hAnsi="Times New Roman" w:cs="Times New Roman"/>
                <w:sz w:val="18"/>
                <w:szCs w:val="18"/>
              </w:rPr>
              <w:t xml:space="preserve"> u cilju </w:t>
            </w:r>
            <w:r w:rsidR="00F96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smanjenja ukupnog broja </w:t>
            </w:r>
            <w:r w:rsidR="00F960A3">
              <w:rPr>
                <w:rFonts w:ascii="Times New Roman" w:hAnsi="Times New Roman" w:cs="Times New Roman"/>
                <w:sz w:val="18"/>
                <w:szCs w:val="18"/>
              </w:rPr>
              <w:t>trgovačkih društava kojima upravlja Centar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EE94" w14:textId="7107ADAC" w:rsidR="009F63DE" w:rsidRDefault="009F63DE" w:rsidP="00DA0962">
            <w:pPr>
              <w:spacing w:before="120" w:after="160" w:line="254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Kroz</w:t>
            </w:r>
            <w:r w:rsidR="006C5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objavu oglasa za prodaju dionica / udjela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C5877">
              <w:rPr>
                <w:rFonts w:ascii="Times New Roman" w:hAnsi="Times New Roman" w:cs="Times New Roman"/>
                <w:sz w:val="18"/>
                <w:szCs w:val="18"/>
              </w:rPr>
              <w:t>trgovačkih društava kojima upravlja C</w:t>
            </w:r>
            <w:r w:rsidR="00171298">
              <w:rPr>
                <w:rFonts w:ascii="Times New Roman" w:hAnsi="Times New Roman" w:cs="Times New Roman"/>
                <w:sz w:val="18"/>
                <w:szCs w:val="18"/>
              </w:rPr>
              <w:t>entar</w:t>
            </w:r>
            <w:r w:rsidR="00AE315F">
              <w:rPr>
                <w:rFonts w:ascii="Times New Roman" w:hAnsi="Times New Roman" w:cs="Times New Roman"/>
                <w:sz w:val="18"/>
                <w:szCs w:val="18"/>
              </w:rPr>
              <w:t xml:space="preserve"> očekuje se </w:t>
            </w:r>
            <w:r w:rsidR="006C5877">
              <w:rPr>
                <w:rFonts w:ascii="Times New Roman" w:eastAsia="Calibri" w:hAnsi="Times New Roman" w:cs="Times New Roman"/>
                <w:sz w:val="18"/>
                <w:szCs w:val="18"/>
              </w:rPr>
              <w:t>smanjenj</w:t>
            </w:r>
            <w:r w:rsidR="00AE315F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6C58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ukupnog broja </w:t>
            </w:r>
            <w:r w:rsidR="006C5877">
              <w:rPr>
                <w:rFonts w:ascii="Times New Roman" w:hAnsi="Times New Roman" w:cs="Times New Roman"/>
                <w:sz w:val="18"/>
                <w:szCs w:val="18"/>
              </w:rPr>
              <w:t>trgovačkih društava kojima upravlja C</w:t>
            </w:r>
            <w:r w:rsidR="00171298">
              <w:rPr>
                <w:rFonts w:ascii="Times New Roman" w:hAnsi="Times New Roman" w:cs="Times New Roman"/>
                <w:sz w:val="18"/>
                <w:szCs w:val="18"/>
              </w:rPr>
              <w:t>entar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67870" w14:textId="4A1005FE" w:rsidR="009F63DE" w:rsidRDefault="009F63DE">
            <w:pPr>
              <w:spacing w:before="100" w:beforeAutospacing="1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Broj </w:t>
            </w:r>
            <w:r w:rsidR="00171298">
              <w:rPr>
                <w:rFonts w:ascii="Times New Roman" w:eastAsia="Calibri" w:hAnsi="Times New Roman" w:cs="Times New Roman"/>
                <w:sz w:val="18"/>
                <w:szCs w:val="18"/>
              </w:rPr>
              <w:t>pokrenutih postupaka prodaje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1DE7" w14:textId="39B65962" w:rsidR="009F63DE" w:rsidRDefault="002262AB">
            <w:pPr>
              <w:spacing w:before="100" w:beforeAutospacing="1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101D" w14:textId="27A719C9" w:rsidR="009F63DE" w:rsidRDefault="00DA0962">
            <w:pPr>
              <w:spacing w:before="100"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restrukturiranje i prodaju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E29A3" w14:textId="51675E3E" w:rsidR="009F63DE" w:rsidRDefault="002262AB">
            <w:pPr>
              <w:spacing w:before="100" w:beforeAutospacing="1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02ADC" w14:textId="47D9680C" w:rsidR="009F63DE" w:rsidRDefault="002262AB">
            <w:pPr>
              <w:spacing w:before="100" w:beforeAutospacing="1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8E8D3" w14:textId="747F70B8" w:rsidR="009F63DE" w:rsidRDefault="002262AB">
            <w:pPr>
              <w:spacing w:before="100" w:beforeAutospacing="1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</w:tbl>
    <w:p w14:paraId="77527B74" w14:textId="77777777" w:rsidR="009F63DE" w:rsidRPr="00E31E90" w:rsidRDefault="009F63DE" w:rsidP="005534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6FCD83" w14:textId="431E72F9" w:rsidR="00773D1E" w:rsidRPr="00E31E90" w:rsidRDefault="00773D1E" w:rsidP="005534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E90">
        <w:rPr>
          <w:rFonts w:ascii="Times New Roman" w:hAnsi="Times New Roman" w:cs="Times New Roman"/>
          <w:bCs/>
          <w:sz w:val="24"/>
          <w:szCs w:val="24"/>
        </w:rPr>
        <w:t>A500000 ADMINISTRACIJA I UPRAVLJANJE</w:t>
      </w:r>
    </w:p>
    <w:p w14:paraId="022D8D68" w14:textId="77777777" w:rsidR="0055345F" w:rsidRPr="00E31E90" w:rsidRDefault="0055345F" w:rsidP="005534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40253" w14:textId="77777777" w:rsidR="00EA7190" w:rsidRDefault="00EA7190" w:rsidP="00EA71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administraciju i upravljanje u 2023. godini planirani su u iznosu od 7.869.800,00 eura te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manji za iznos od 2.121.573,01 </w:t>
      </w:r>
      <w:r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tj. za 21,23% u odnosu na </w:t>
      </w:r>
      <w:r>
        <w:rPr>
          <w:rFonts w:ascii="Times New Roman" w:hAnsi="Times New Roman" w:cs="Times New Roman"/>
          <w:sz w:val="24"/>
          <w:szCs w:val="24"/>
        </w:rPr>
        <w:t xml:space="preserve">planirane rashode za administraciju i upravljanje iz 2022. godine iz razloga što se u 2023. godini očekuju manji rashodi po osnovi dugotrajnih sudskih postupaka te zateznih kamata po istima. </w:t>
      </w:r>
    </w:p>
    <w:p w14:paraId="3499CDF8" w14:textId="77777777" w:rsidR="00EA7190" w:rsidRDefault="00EA7190" w:rsidP="00EA71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 se odnosi na rashode za zaposlene, materijalne rashode, financijske rashode i ostale rashode, sve sa ciljem obavljanja redovne djelatnosti Centra, a od ukupno planiranih sredstava za 2023. godinu</w:t>
      </w:r>
    </w:p>
    <w:p w14:paraId="0B7F7632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31,37% sredstava planirano je za rashode za zaposlene, </w:t>
      </w:r>
    </w:p>
    <w:p w14:paraId="33E61124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41,42% sredstava planirano je za materijalne rashode u okviru kojih rashoda se nalaze troškovi dugotrajnih sudskih postupaka </w:t>
      </w:r>
    </w:p>
    <w:p w14:paraId="1C2C55AA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27,18 % sredstava planirano je za financijske rashode u okviru kojih rashoda najveći dio se odnosi na zatezne kamate za dugotrajne sudske postupke </w:t>
      </w:r>
    </w:p>
    <w:p w14:paraId="6BDF2E73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0,03% planirano je za ostale rashode.</w:t>
      </w:r>
    </w:p>
    <w:p w14:paraId="6C05EDDB" w14:textId="652AF9BE" w:rsidR="00EA7190" w:rsidRDefault="00EA7190" w:rsidP="00630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administraciju i upravljanje u 2024. i 2025. godini planirani su u istom ili sličnom omjeru (</w:t>
      </w:r>
      <w:r>
        <w:rPr>
          <w:rFonts w:ascii="Symbol" w:hAnsi="Symbol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5%) kao i za 2023. godinu.</w:t>
      </w:r>
    </w:p>
    <w:p w14:paraId="3CBBCE15" w14:textId="30887B57" w:rsidR="006304CE" w:rsidRDefault="006304CE" w:rsidP="00EA7190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aktivnost financira se iz vlastitih sredstava.</w:t>
      </w:r>
    </w:p>
    <w:p w14:paraId="3A82E2F8" w14:textId="509501DF" w:rsidR="00EA7190" w:rsidRDefault="00EA7190" w:rsidP="00EA7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59748" w14:textId="5D39AC1A" w:rsidR="00DA0962" w:rsidRDefault="00DA0962" w:rsidP="00EA7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C4088" w14:textId="07946824" w:rsidR="00DA0962" w:rsidRDefault="00DA0962" w:rsidP="00EA7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BF289" w14:textId="77777777" w:rsidR="00DA0962" w:rsidRDefault="00DA0962" w:rsidP="00EA7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A1A09" w14:textId="77777777" w:rsidR="00EA7190" w:rsidRDefault="00EA7190" w:rsidP="00EA7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K500000 OPREMANJE</w:t>
      </w:r>
    </w:p>
    <w:p w14:paraId="17D5B239" w14:textId="77777777" w:rsidR="00EA7190" w:rsidRDefault="00EA7190" w:rsidP="00EA7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2FE35" w14:textId="77777777" w:rsidR="00EA7190" w:rsidRDefault="00EA7190" w:rsidP="00EA7190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opremanje u 2023. godini planirani su u iznosu od 216.400,00 eura te 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manji za iznos od 189.731,79 </w:t>
      </w:r>
      <w:r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tj. za 46,72% u odnosu na planirane </w:t>
      </w:r>
      <w:r>
        <w:rPr>
          <w:rFonts w:ascii="Times New Roman" w:hAnsi="Times New Roman" w:cs="Times New Roman"/>
          <w:sz w:val="24"/>
          <w:szCs w:val="24"/>
        </w:rPr>
        <w:t xml:space="preserve">rashode za opremanje za 2022. godinu iz razloga što se u 2023. godini planiraju manji rashodi za opremu i ulaganja u računalne programe. </w:t>
      </w:r>
    </w:p>
    <w:p w14:paraId="657F3EB9" w14:textId="77777777" w:rsidR="00EA7190" w:rsidRDefault="00EA7190" w:rsidP="00EA71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 se odnosi na rashode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te na rashode za nabavu proizvedene dugotrajne imovine, sve sa ciljem obavljanja redovne djelatnosti Centra, a od ukupno planiranih sredstava za 2023 godinu</w:t>
      </w:r>
    </w:p>
    <w:p w14:paraId="5D9628A1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6,15% sredstava planirano je za rashode za nabavu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neproizvedene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dugotrajne imovine odnosno za obnovu ili kupnju licenci,  </w:t>
      </w:r>
    </w:p>
    <w:p w14:paraId="64A19821" w14:textId="77777777" w:rsidR="00EA7190" w:rsidRDefault="00EA7190" w:rsidP="00EA7190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93,85% sredstava planirano je za nabavu računala i računalne opreme, uredske opreme i namještaja, komunikacijske opreme, oprema za održavanje i zaštitu te na nabavu uređaja, strojeva i opreme za ostale namjene, kao i ulaganja u računalne programe.</w:t>
      </w:r>
    </w:p>
    <w:p w14:paraId="26561C8E" w14:textId="59014B05" w:rsidR="00EA7190" w:rsidRDefault="00EA7190" w:rsidP="006304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opremanje u 2024. i 2025. godini planirani su u istom ili sličnom omjeru (</w:t>
      </w:r>
      <w:r>
        <w:rPr>
          <w:rFonts w:ascii="Symbol" w:hAnsi="Symbol"/>
          <w:sz w:val="24"/>
          <w:szCs w:val="24"/>
        </w:rPr>
        <w:t>±</w:t>
      </w:r>
      <w:r>
        <w:rPr>
          <w:rFonts w:ascii="Times New Roman" w:hAnsi="Times New Roman" w:cs="Times New Roman"/>
          <w:sz w:val="24"/>
          <w:szCs w:val="24"/>
        </w:rPr>
        <w:t xml:space="preserve"> 1%) kao i za 2023. godinu.</w:t>
      </w:r>
    </w:p>
    <w:p w14:paraId="3E15C361" w14:textId="7EF07B5D" w:rsidR="006304CE" w:rsidRDefault="006304CE" w:rsidP="00630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aktivnost financira se iz vlastitih sredstava.</w:t>
      </w:r>
    </w:p>
    <w:p w14:paraId="57E7B2BD" w14:textId="77777777" w:rsidR="006304CE" w:rsidRDefault="006304CE" w:rsidP="006304CE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45C77D6D" w14:textId="7194B973" w:rsidR="00DC11DD" w:rsidRPr="003517B2" w:rsidRDefault="00654BB9" w:rsidP="00EA7190">
      <w:pPr>
        <w:jc w:val="both"/>
      </w:pPr>
      <w:r w:rsidRPr="00E31E90">
        <w:rPr>
          <w:rFonts w:ascii="Times New Roman" w:hAnsi="Times New Roman" w:cs="Times New Roman"/>
          <w:sz w:val="24"/>
          <w:szCs w:val="24"/>
        </w:rPr>
        <w:t>Zagreb, 2</w:t>
      </w:r>
      <w:r w:rsidR="00A242D4" w:rsidRPr="00E31E90">
        <w:rPr>
          <w:rFonts w:ascii="Times New Roman" w:hAnsi="Times New Roman" w:cs="Times New Roman"/>
          <w:sz w:val="24"/>
          <w:szCs w:val="24"/>
        </w:rPr>
        <w:t>8</w:t>
      </w:r>
      <w:r w:rsidR="007A63FE" w:rsidRPr="00E31E90">
        <w:rPr>
          <w:rFonts w:ascii="Times New Roman" w:hAnsi="Times New Roman" w:cs="Times New Roman"/>
          <w:sz w:val="24"/>
          <w:szCs w:val="24"/>
        </w:rPr>
        <w:t xml:space="preserve">. </w:t>
      </w:r>
      <w:r w:rsidRPr="00E31E90">
        <w:rPr>
          <w:rFonts w:ascii="Times New Roman" w:hAnsi="Times New Roman" w:cs="Times New Roman"/>
          <w:sz w:val="24"/>
          <w:szCs w:val="24"/>
        </w:rPr>
        <w:t>rujna 202</w:t>
      </w:r>
      <w:r w:rsidR="00A242D4" w:rsidRPr="00E31E90">
        <w:rPr>
          <w:rFonts w:ascii="Times New Roman" w:hAnsi="Times New Roman" w:cs="Times New Roman"/>
          <w:sz w:val="24"/>
          <w:szCs w:val="24"/>
        </w:rPr>
        <w:t>2</w:t>
      </w:r>
      <w:r w:rsidR="00C238AE" w:rsidRPr="00E31E90">
        <w:rPr>
          <w:rFonts w:ascii="Times New Roman" w:hAnsi="Times New Roman" w:cs="Times New Roman"/>
          <w:sz w:val="24"/>
          <w:szCs w:val="24"/>
        </w:rPr>
        <w:t>. godine</w:t>
      </w:r>
    </w:p>
    <w:p w14:paraId="1DEF2E9C" w14:textId="77777777" w:rsidR="00DC11DD" w:rsidRPr="003517B2" w:rsidRDefault="00DC11DD"/>
    <w:sectPr w:rsidR="00DC11DD" w:rsidRPr="003517B2" w:rsidSect="009025CA">
      <w:footerReference w:type="default" r:id="rId8"/>
      <w:pgSz w:w="11906" w:h="16838"/>
      <w:pgMar w:top="1134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F142" w14:textId="77777777" w:rsidR="00DB1560" w:rsidRDefault="00DB1560" w:rsidP="002C429A">
      <w:r>
        <w:separator/>
      </w:r>
    </w:p>
  </w:endnote>
  <w:endnote w:type="continuationSeparator" w:id="0">
    <w:p w14:paraId="472926D1" w14:textId="77777777" w:rsidR="00DB1560" w:rsidRDefault="00DB1560" w:rsidP="002C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E381" w14:textId="0CCB29E6" w:rsidR="002C429A" w:rsidRDefault="002C429A">
    <w:pPr>
      <w:pStyle w:val="Footer"/>
      <w:jc w:val="center"/>
    </w:pPr>
  </w:p>
  <w:p w14:paraId="59ABBE47" w14:textId="77777777" w:rsidR="002C429A" w:rsidRDefault="002C4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99F3" w14:textId="77777777" w:rsidR="00DB1560" w:rsidRDefault="00DB1560" w:rsidP="002C429A">
      <w:r>
        <w:separator/>
      </w:r>
    </w:p>
  </w:footnote>
  <w:footnote w:type="continuationSeparator" w:id="0">
    <w:p w14:paraId="62C3F4D4" w14:textId="77777777" w:rsidR="00DB1560" w:rsidRDefault="00DB1560" w:rsidP="002C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232"/>
    <w:multiLevelType w:val="hybridMultilevel"/>
    <w:tmpl w:val="A63CF338"/>
    <w:lvl w:ilvl="0" w:tplc="6FA8EE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0EA"/>
    <w:multiLevelType w:val="hybridMultilevel"/>
    <w:tmpl w:val="3796E1C4"/>
    <w:lvl w:ilvl="0" w:tplc="213C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6FBA"/>
    <w:multiLevelType w:val="hybridMultilevel"/>
    <w:tmpl w:val="68F63576"/>
    <w:lvl w:ilvl="0" w:tplc="3DD8D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116E"/>
    <w:multiLevelType w:val="multilevel"/>
    <w:tmpl w:val="D7FA45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B777A4"/>
    <w:multiLevelType w:val="hybridMultilevel"/>
    <w:tmpl w:val="84C4CCEA"/>
    <w:lvl w:ilvl="0" w:tplc="02E0C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D7C16"/>
    <w:multiLevelType w:val="hybridMultilevel"/>
    <w:tmpl w:val="4CEEA74E"/>
    <w:lvl w:ilvl="0" w:tplc="5FA81C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157D9"/>
    <w:multiLevelType w:val="hybridMultilevel"/>
    <w:tmpl w:val="EA78B444"/>
    <w:lvl w:ilvl="0" w:tplc="02E0C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963B9"/>
    <w:multiLevelType w:val="hybridMultilevel"/>
    <w:tmpl w:val="FB0A51BC"/>
    <w:lvl w:ilvl="0" w:tplc="AC2A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E01621"/>
    <w:multiLevelType w:val="hybridMultilevel"/>
    <w:tmpl w:val="3D5C55B4"/>
    <w:lvl w:ilvl="0" w:tplc="FE882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4013975">
    <w:abstractNumId w:val="4"/>
  </w:num>
  <w:num w:numId="2" w16cid:durableId="1516072844">
    <w:abstractNumId w:val="2"/>
  </w:num>
  <w:num w:numId="3" w16cid:durableId="612518279">
    <w:abstractNumId w:val="6"/>
  </w:num>
  <w:num w:numId="4" w16cid:durableId="1643462273">
    <w:abstractNumId w:val="3"/>
  </w:num>
  <w:num w:numId="5" w16cid:durableId="1657684979">
    <w:abstractNumId w:val="1"/>
  </w:num>
  <w:num w:numId="6" w16cid:durableId="880022588">
    <w:abstractNumId w:val="7"/>
  </w:num>
  <w:num w:numId="7" w16cid:durableId="184172405">
    <w:abstractNumId w:val="5"/>
  </w:num>
  <w:num w:numId="8" w16cid:durableId="803038188">
    <w:abstractNumId w:val="8"/>
  </w:num>
  <w:num w:numId="9" w16cid:durableId="197324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AE"/>
    <w:rsid w:val="000001F3"/>
    <w:rsid w:val="00040C58"/>
    <w:rsid w:val="00053D58"/>
    <w:rsid w:val="0009642A"/>
    <w:rsid w:val="000E0EA8"/>
    <w:rsid w:val="000F1A73"/>
    <w:rsid w:val="001173A3"/>
    <w:rsid w:val="00142626"/>
    <w:rsid w:val="00167EAE"/>
    <w:rsid w:val="00171298"/>
    <w:rsid w:val="00192A94"/>
    <w:rsid w:val="001A6FE8"/>
    <w:rsid w:val="001B3A08"/>
    <w:rsid w:val="001C2B17"/>
    <w:rsid w:val="001C7B1C"/>
    <w:rsid w:val="0020391F"/>
    <w:rsid w:val="0021313F"/>
    <w:rsid w:val="00221801"/>
    <w:rsid w:val="002262AB"/>
    <w:rsid w:val="002423FC"/>
    <w:rsid w:val="002532EA"/>
    <w:rsid w:val="00262894"/>
    <w:rsid w:val="0026421F"/>
    <w:rsid w:val="00287324"/>
    <w:rsid w:val="002B4E83"/>
    <w:rsid w:val="002C429A"/>
    <w:rsid w:val="002F0B41"/>
    <w:rsid w:val="002F7EB1"/>
    <w:rsid w:val="003112B8"/>
    <w:rsid w:val="003361C4"/>
    <w:rsid w:val="00336540"/>
    <w:rsid w:val="00340150"/>
    <w:rsid w:val="00347CC9"/>
    <w:rsid w:val="003517B2"/>
    <w:rsid w:val="00376531"/>
    <w:rsid w:val="003806A1"/>
    <w:rsid w:val="0038233B"/>
    <w:rsid w:val="003C3840"/>
    <w:rsid w:val="003D0A19"/>
    <w:rsid w:val="003F5A68"/>
    <w:rsid w:val="00437889"/>
    <w:rsid w:val="004A30F4"/>
    <w:rsid w:val="004A3E47"/>
    <w:rsid w:val="004B1DEA"/>
    <w:rsid w:val="004B2577"/>
    <w:rsid w:val="004C748D"/>
    <w:rsid w:val="004C7F14"/>
    <w:rsid w:val="004E1FA0"/>
    <w:rsid w:val="004E37FF"/>
    <w:rsid w:val="004F0913"/>
    <w:rsid w:val="004F2ACD"/>
    <w:rsid w:val="004F5052"/>
    <w:rsid w:val="00503DB0"/>
    <w:rsid w:val="00520C06"/>
    <w:rsid w:val="0055219A"/>
    <w:rsid w:val="0055345F"/>
    <w:rsid w:val="00565E72"/>
    <w:rsid w:val="00591816"/>
    <w:rsid w:val="00606A9A"/>
    <w:rsid w:val="006115BF"/>
    <w:rsid w:val="00613D76"/>
    <w:rsid w:val="006304CE"/>
    <w:rsid w:val="006341E4"/>
    <w:rsid w:val="00634979"/>
    <w:rsid w:val="00634EDC"/>
    <w:rsid w:val="00654BB9"/>
    <w:rsid w:val="00676AFD"/>
    <w:rsid w:val="006A5BDB"/>
    <w:rsid w:val="006C2203"/>
    <w:rsid w:val="006C5877"/>
    <w:rsid w:val="006C6BC7"/>
    <w:rsid w:val="006C6D05"/>
    <w:rsid w:val="006F6CC0"/>
    <w:rsid w:val="00711385"/>
    <w:rsid w:val="007327F1"/>
    <w:rsid w:val="0074773C"/>
    <w:rsid w:val="00763D46"/>
    <w:rsid w:val="00773D1E"/>
    <w:rsid w:val="00784D2F"/>
    <w:rsid w:val="0079167F"/>
    <w:rsid w:val="007A61C2"/>
    <w:rsid w:val="007A63FE"/>
    <w:rsid w:val="007D0806"/>
    <w:rsid w:val="007D20A5"/>
    <w:rsid w:val="007F5800"/>
    <w:rsid w:val="00806DF3"/>
    <w:rsid w:val="00822B5D"/>
    <w:rsid w:val="00822BD7"/>
    <w:rsid w:val="00822D32"/>
    <w:rsid w:val="00844B74"/>
    <w:rsid w:val="008512A6"/>
    <w:rsid w:val="00874184"/>
    <w:rsid w:val="00896FC4"/>
    <w:rsid w:val="008B02FB"/>
    <w:rsid w:val="009025CA"/>
    <w:rsid w:val="00905307"/>
    <w:rsid w:val="00933EC5"/>
    <w:rsid w:val="00985E90"/>
    <w:rsid w:val="009C2982"/>
    <w:rsid w:val="009C3B00"/>
    <w:rsid w:val="009F0D79"/>
    <w:rsid w:val="009F5C5D"/>
    <w:rsid w:val="009F63DE"/>
    <w:rsid w:val="009F6AA0"/>
    <w:rsid w:val="00A23997"/>
    <w:rsid w:val="00A242D4"/>
    <w:rsid w:val="00A50CF4"/>
    <w:rsid w:val="00A6017D"/>
    <w:rsid w:val="00A7290B"/>
    <w:rsid w:val="00A7685A"/>
    <w:rsid w:val="00A90362"/>
    <w:rsid w:val="00AA1F2C"/>
    <w:rsid w:val="00AC7F5A"/>
    <w:rsid w:val="00AD4A7F"/>
    <w:rsid w:val="00AE315F"/>
    <w:rsid w:val="00B2730F"/>
    <w:rsid w:val="00B2739B"/>
    <w:rsid w:val="00B46244"/>
    <w:rsid w:val="00B505CD"/>
    <w:rsid w:val="00B536ED"/>
    <w:rsid w:val="00B86736"/>
    <w:rsid w:val="00B9638A"/>
    <w:rsid w:val="00BA60AE"/>
    <w:rsid w:val="00BB08B8"/>
    <w:rsid w:val="00BC3463"/>
    <w:rsid w:val="00BF6D11"/>
    <w:rsid w:val="00C0557B"/>
    <w:rsid w:val="00C238AE"/>
    <w:rsid w:val="00C24996"/>
    <w:rsid w:val="00C32DFB"/>
    <w:rsid w:val="00C54B18"/>
    <w:rsid w:val="00C873A3"/>
    <w:rsid w:val="00C96250"/>
    <w:rsid w:val="00CA1CCC"/>
    <w:rsid w:val="00CA60A5"/>
    <w:rsid w:val="00CA66B4"/>
    <w:rsid w:val="00CC50C6"/>
    <w:rsid w:val="00CF0CAE"/>
    <w:rsid w:val="00D00FFA"/>
    <w:rsid w:val="00D25C67"/>
    <w:rsid w:val="00D748A9"/>
    <w:rsid w:val="00D94754"/>
    <w:rsid w:val="00DA0962"/>
    <w:rsid w:val="00DB1560"/>
    <w:rsid w:val="00DC11DD"/>
    <w:rsid w:val="00DD3813"/>
    <w:rsid w:val="00E033BC"/>
    <w:rsid w:val="00E0481A"/>
    <w:rsid w:val="00E15A6A"/>
    <w:rsid w:val="00E24823"/>
    <w:rsid w:val="00E31E90"/>
    <w:rsid w:val="00E347B5"/>
    <w:rsid w:val="00E549E6"/>
    <w:rsid w:val="00E61106"/>
    <w:rsid w:val="00E71E95"/>
    <w:rsid w:val="00EA7190"/>
    <w:rsid w:val="00ED7502"/>
    <w:rsid w:val="00EE3054"/>
    <w:rsid w:val="00EE58C7"/>
    <w:rsid w:val="00F43F1F"/>
    <w:rsid w:val="00F66F94"/>
    <w:rsid w:val="00F73B22"/>
    <w:rsid w:val="00F81D36"/>
    <w:rsid w:val="00F84F56"/>
    <w:rsid w:val="00F86F13"/>
    <w:rsid w:val="00F960A3"/>
    <w:rsid w:val="00FA3705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14E345"/>
  <w15:docId w15:val="{FD5713C5-94E1-4B98-AF2F-6AF913AD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AE"/>
    <w:pPr>
      <w:spacing w:after="0" w:line="240" w:lineRule="auto"/>
    </w:pPr>
    <w:rPr>
      <w:rFonts w:eastAsia="Times New Roman" w:cs="Arial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626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Char2">
    <w:name w:val="Char2"/>
    <w:basedOn w:val="Normal"/>
    <w:rsid w:val="00A23997"/>
    <w:pPr>
      <w:tabs>
        <w:tab w:val="num" w:pos="2126"/>
      </w:tabs>
      <w:spacing w:after="160" w:line="240" w:lineRule="exact"/>
      <w:ind w:left="2126" w:hanging="567"/>
    </w:pPr>
    <w:rPr>
      <w:rFonts w:ascii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1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1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7B2"/>
    <w:rPr>
      <w:rFonts w:eastAsia="Times New Roman" w:cs="Arial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B2"/>
    <w:rPr>
      <w:rFonts w:eastAsia="Times New Roman" w:cs="Arial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C4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9A"/>
    <w:rPr>
      <w:rFonts w:eastAsia="Times New Roman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4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9A"/>
    <w:rPr>
      <w:rFonts w:eastAsia="Times New Roman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B096-2729-449B-820A-09F90DA1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14804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Blaženka Razum</dc:creator>
  <cp:lastModifiedBy>Mario Kvesić</cp:lastModifiedBy>
  <cp:revision>2</cp:revision>
  <cp:lastPrinted>2022-11-08T10:26:00Z</cp:lastPrinted>
  <dcterms:created xsi:type="dcterms:W3CDTF">2023-01-25T14:48:00Z</dcterms:created>
  <dcterms:modified xsi:type="dcterms:W3CDTF">2023-01-25T14:48:00Z</dcterms:modified>
</cp:coreProperties>
</file>